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C" w:rsidRPr="0019409C" w:rsidRDefault="0019409C" w:rsidP="00194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19409C" w:rsidRPr="0019409C" w:rsidRDefault="0019409C" w:rsidP="001940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19409C" w:rsidRPr="0019409C" w:rsidRDefault="0019409C" w:rsidP="0019409C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19409C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УРОКЛІН</w:t>
      </w:r>
      <w:r w:rsidRPr="0019409C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876065" w:rsidRDefault="0019409C" w:rsidP="0019409C"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 1 капсули: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стандартизовані рослинні екстракти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череди трави екстракт сухий (Bidens) (100 мг);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кропиви дводомної коренів екстракт сухий (Urtica dioica) (100 мг);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золототисячника трави екстракт сухий (Centáurium) (80 мг); 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толокнянки листя екстракт сухий (Arctostáphylos) (80 мг);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 зубної плодів екстракт сухий (Ámmi visnága) (40 мг).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Рекомендації щодо застосування: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унікальна фітокомпозиція Уроклін, виготовлена на основі стандартизованих сухих екстрактів виробництва Naturex (Франція), може бути рекомендована в якості дієтичної добавки для нормалізації функціонування сечовидільної системи при запальних захворюваннях нирок та сечовидільних шляхів.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Трава череди (Bidens) містить флаваноїди (лютеолін-Р-глюкопіранозид, бутеїн, сульфуретин, D-глюкопіранозид бутеїну), конденсовані дубильні речовини, каротин, кумарини (умбеліферон, іскополетин), кислоту аскорбінову, аміни, гіркоти, g-лактони, мікроелементи. Має сечогінну та бактерицидну дії. Використовується в комплексній терапії захворювань сечового міхура і сечовидільних шляхів для підвищення ефективності основної терапії.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Коріння кропиви дводомної (Urtica dioica) містить флаваноїди, макро- та мікроелементи (марганець, кальцій, залізо, мідь, калій, бор, барій, титан, нікель, сірка та кремній). Вітаміни Е, В2, В1, В6, РР що присутні у коренях, беруть участь у життєво важливих обмінно-відновлюючих процесах організму. Корінь кропиви - потужний сечогінний засіб.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Трава з квітками золототисячнику (Centáurium) містить глікозиди (ерітаурин, ерітроцентаурин), флаваноїди, олеанолові кислоти та алкалоїд генцианін. Золототисячник звичайний має виражену протизапальну та антибактеріальну дії. Широко використовується в народній медицині, є фармакопейною рослиною. В європейській медицині входить до складу ряду цілющих бальзамів. Також описана протинабрякова дія золототисячнику за рахунок діуретичного ефекту.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Листя толокнянки звичайної (Arctostáphylos) містять глікозид арбутин, метил-арбутин, вільний гідрохінон, галову, елагову, хінну, мурашину, урсолову та інші органічні кислоти, дубильні речовини пирогалової групи, флаваноїди (кемпферол, гиперін, кверцетин і його глікозиди, кверцетрін, мирицетин і його глікозиди), аскорбінову кислоту, сапоніни (а- і Р-амірин, лупеол, уваол, урсолову кислоту), мікроелементи. Завдяки діуретичній та бактерицидній (зокрема, на Proteus mirabilis. Pseudomonas aeruginosa, Staphylococcus albus, Streptococcus aecalis) дії цих речовин листя мучниці звичайної прискорює одужання і зменшує ймовірність розвитку рецидивів інфекцій нирок та сечовидільних шляхів (пієліт, цистит, уретрит).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 зубна (Ámmi visnága) являється одним із найбільш сильних рослинних міоспазмолітиків. Активні інгридієнти, які містяться в плодах аммі зубної – келін, віснагін, віснадін і келол-глюкозид - мають спазмолітичні властивості: вони знижують тонус гладкої мускулатури кишківника, сечового і жовчного міхурів, розширюють бронхи і вінцеві судини серця. Найбільшою тропністю біологічно активні речовини аммі характеризуються до органів сечовидільної і травної систем. При цьому також описано терапевтичну дію келіну при хронічній коронарній недостатності. Препарати, які містять в своєму складі екстракт аммі зубної не впливають на системний артеріальний тиск.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Спосіб застосування та вживання: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 2 капсули двічі на день під час приймання їжі запиваючи склянкою води. Тривалість курсу 30 днів. Рекомендується повторювати курс 3-4 рази на рік. Перед застосуванням рекомендовано порадитись з лікарем.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 щодо застосування: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індивідуальна чутливість до компонентів продукту, жінкам в період вагітності та лактації. Не перевищувати рекомендовану добову норму. Перед застосуванням проконсультуватися з лікарем.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lastRenderedPageBreak/>
        <w:t>Умови зберігання та строк придатності: 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зберігати в упаковці виробника в сухому, захищеному від світла приміщенні за температури від 2°С до 25°С. Термін придатності 2 роки з дати виготовлення. Зберігати в недоступному для дітей місці.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Пакування: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60 капсул по 400 мг.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Дата виробництва та строк придатності: вказано на упаковці.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 є лікарським засобом. Без ГМО.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Виробник: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ТОВ «Елемент здоров'я», Україна, 03062, м. Київ, вул. Естонська, буд. 120.</w:t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Дозволено Міні</w:t>
      </w:r>
      <w:bookmarkStart w:id="0" w:name="_GoBack"/>
      <w:bookmarkEnd w:id="0"/>
      <w:r w:rsidRPr="0019409C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стерством охорони здоров'я України. ТУ У 10.8-33558748-003:2012</w:t>
      </w:r>
    </w:p>
    <w:sectPr w:rsidR="0087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C"/>
    <w:rsid w:val="0019409C"/>
    <w:rsid w:val="00666FAC"/>
    <w:rsid w:val="008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3925-1E25-4365-86BE-7C00F840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4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2019-04-04T11:53:00Z</dcterms:created>
  <dcterms:modified xsi:type="dcterms:W3CDTF">2019-04-04T11:53:00Z</dcterms:modified>
</cp:coreProperties>
</file>