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F2" w:rsidRPr="000F0444" w:rsidRDefault="005040F2" w:rsidP="005040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0"/>
          <w:szCs w:val="19"/>
          <w:lang w:val="uk-UA" w:eastAsia="ru-RU"/>
        </w:rPr>
      </w:pPr>
      <w:r w:rsidRPr="000F0444">
        <w:rPr>
          <w:rFonts w:ascii="Arial" w:eastAsia="Times New Roman" w:hAnsi="Arial" w:cs="Arial"/>
          <w:b/>
          <w:color w:val="002060"/>
          <w:sz w:val="20"/>
          <w:szCs w:val="19"/>
          <w:lang w:val="uk-UA" w:eastAsia="ru-RU"/>
        </w:rPr>
        <w:t>ІНСТРУКЦІЯ</w:t>
      </w:r>
    </w:p>
    <w:p w:rsidR="005040F2" w:rsidRPr="000F0444" w:rsidRDefault="005040F2" w:rsidP="00494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0"/>
          <w:szCs w:val="19"/>
          <w:lang w:val="uk-UA" w:eastAsia="ru-RU"/>
        </w:rPr>
      </w:pPr>
      <w:r w:rsidRPr="000F0444">
        <w:rPr>
          <w:rFonts w:ascii="Arial" w:eastAsia="Times New Roman" w:hAnsi="Arial" w:cs="Arial"/>
          <w:b/>
          <w:color w:val="002060"/>
          <w:sz w:val="20"/>
          <w:szCs w:val="19"/>
          <w:lang w:val="uk-UA" w:eastAsia="ru-RU"/>
        </w:rPr>
        <w:t xml:space="preserve">для застосування </w:t>
      </w:r>
      <w:r w:rsidR="0013133B" w:rsidRPr="000F0444">
        <w:rPr>
          <w:rFonts w:ascii="Arial" w:eastAsia="Times New Roman" w:hAnsi="Arial" w:cs="Arial"/>
          <w:b/>
          <w:color w:val="002060"/>
          <w:sz w:val="20"/>
          <w:szCs w:val="19"/>
          <w:lang w:val="uk-UA" w:eastAsia="ru-RU"/>
        </w:rPr>
        <w:t>препарату</w:t>
      </w:r>
    </w:p>
    <w:p w:rsidR="005040F2" w:rsidRPr="000F0444" w:rsidRDefault="005040F2" w:rsidP="005040F2">
      <w:pPr>
        <w:shd w:val="clear" w:color="auto" w:fill="FFFFFF"/>
        <w:spacing w:after="0" w:line="574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2060"/>
          <w:sz w:val="44"/>
          <w:szCs w:val="44"/>
          <w:lang w:val="uk-UA" w:eastAsia="ru-RU"/>
        </w:rPr>
      </w:pPr>
      <w:r w:rsidRPr="000F0444">
        <w:rPr>
          <w:rFonts w:ascii="Arial" w:eastAsia="Times New Roman" w:hAnsi="Arial" w:cs="Arial"/>
          <w:b/>
          <w:bCs/>
          <w:caps/>
          <w:color w:val="002060"/>
          <w:sz w:val="44"/>
          <w:szCs w:val="44"/>
          <w:lang w:val="uk-UA" w:eastAsia="ru-RU"/>
        </w:rPr>
        <w:t>УЛЬЦЕНОН®</w:t>
      </w:r>
    </w:p>
    <w:p w:rsidR="00AD5E47" w:rsidRPr="000F0444" w:rsidRDefault="00AD5E47" w:rsidP="005040F2">
      <w:pPr>
        <w:shd w:val="clear" w:color="auto" w:fill="FFFFFF"/>
        <w:spacing w:after="0" w:line="574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2060"/>
          <w:sz w:val="44"/>
          <w:szCs w:val="44"/>
          <w:lang w:val="uk-UA" w:eastAsia="ru-RU"/>
        </w:rPr>
      </w:pPr>
    </w:p>
    <w:p w:rsidR="00CF37F8" w:rsidRPr="000F0444" w:rsidRDefault="005040F2" w:rsidP="00CF37F8">
      <w:pPr>
        <w:pStyle w:val="a4"/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</w:pPr>
      <w:r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>  </w:t>
      </w:r>
      <w:r w:rsidRPr="000F0444">
        <w:rPr>
          <w:rFonts w:ascii="Arial" w:hAnsi="Arial" w:cs="Arial"/>
          <w:color w:val="002060"/>
          <w:lang w:val="uk-UA" w:eastAsia="ru-RU"/>
        </w:rPr>
        <w:br/>
      </w:r>
      <w:r w:rsidRPr="000F0444">
        <w:rPr>
          <w:rFonts w:ascii="Arial" w:hAnsi="Arial" w:cs="Arial"/>
          <w:b/>
          <w:bCs/>
          <w:color w:val="002060"/>
          <w:u w:val="single"/>
          <w:shd w:val="clear" w:color="auto" w:fill="FFFFFF"/>
          <w:lang w:val="uk-UA" w:eastAsia="ru-RU"/>
        </w:rPr>
        <w:t>Вміст 1 капсули:</w:t>
      </w:r>
      <w:r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> </w:t>
      </w: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активні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інгредіенти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:</w:t>
      </w: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ембліки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лікарської</w:t>
      </w:r>
      <w:r w:rsidR="008147D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плодів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екстракт сухий (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Emblica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officinalis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) </w:t>
      </w:r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30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мг; </w:t>
      </w: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льону насіння екстракт сухий (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Linum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usitatissimum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) 30 мг; </w:t>
      </w: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хітозан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у формі порошку </w:t>
      </w:r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(</w:t>
      </w:r>
      <w:proofErr w:type="spellStart"/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chitosan</w:t>
      </w:r>
      <w:proofErr w:type="spellEnd"/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)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60 мг; </w:t>
      </w:r>
    </w:p>
    <w:p w:rsidR="00AD5E47" w:rsidRPr="000F0444" w:rsidRDefault="00CF37F8" w:rsidP="00CF37F8">
      <w:pPr>
        <w:pStyle w:val="a4"/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</w:pPr>
      <w:r w:rsidRPr="000F0444">
        <w:rPr>
          <w:rFonts w:ascii="Arial" w:hAnsi="Arial" w:cs="Arial"/>
          <w:color w:val="002060"/>
          <w:sz w:val="20"/>
          <w:lang w:val="uk-UA" w:eastAsia="ru-RU"/>
        </w:rPr>
        <w:t>кореневищ імбиру аптечного екстракт сухий (</w:t>
      </w:r>
      <w:proofErr w:type="spellStart"/>
      <w:r w:rsidRPr="000F0444">
        <w:rPr>
          <w:rFonts w:ascii="Arial" w:hAnsi="Arial" w:cs="Arial"/>
          <w:color w:val="002060"/>
          <w:sz w:val="20"/>
          <w:lang w:val="uk-UA" w:eastAsia="ru-RU"/>
        </w:rPr>
        <w:t>Zingiber</w:t>
      </w:r>
      <w:proofErr w:type="spellEnd"/>
      <w:r w:rsidRPr="000F0444">
        <w:rPr>
          <w:rFonts w:ascii="Arial" w:hAnsi="Arial" w:cs="Arial"/>
          <w:color w:val="002060"/>
          <w:sz w:val="20"/>
          <w:lang w:val="uk-UA" w:eastAsia="ru-RU"/>
        </w:rPr>
        <w:t xml:space="preserve"> </w:t>
      </w:r>
      <w:proofErr w:type="spellStart"/>
      <w:r w:rsidRPr="000F0444">
        <w:rPr>
          <w:rFonts w:ascii="Arial" w:hAnsi="Arial" w:cs="Arial"/>
          <w:color w:val="002060"/>
          <w:sz w:val="20"/>
          <w:lang w:val="uk-UA" w:eastAsia="ru-RU"/>
        </w:rPr>
        <w:t>officinalе</w:t>
      </w:r>
      <w:proofErr w:type="spellEnd"/>
      <w:r w:rsidRPr="000F0444">
        <w:rPr>
          <w:rFonts w:ascii="Arial" w:hAnsi="Arial" w:cs="Arial"/>
          <w:color w:val="002060"/>
          <w:sz w:val="20"/>
          <w:lang w:val="uk-UA" w:eastAsia="ru-RU"/>
        </w:rPr>
        <w:t>) 60 мг;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кальцію карбонат у формі порошку 200 мг;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магнію карбонат у формі порошку 20 мг.</w:t>
      </w:r>
    </w:p>
    <w:p w:rsidR="00AD5E47" w:rsidRPr="000F0444" w:rsidRDefault="00AD5E47" w:rsidP="00CF37F8">
      <w:pPr>
        <w:pStyle w:val="a4"/>
        <w:rPr>
          <w:rFonts w:ascii="Arial" w:hAnsi="Arial" w:cs="Arial"/>
          <w:color w:val="002060"/>
          <w:sz w:val="20"/>
          <w:lang w:val="uk-UA" w:eastAsia="ru-RU"/>
        </w:rPr>
      </w:pPr>
      <w:r w:rsidRPr="000F0444">
        <w:rPr>
          <w:rFonts w:ascii="Helvetica" w:hAnsi="Helvetica"/>
          <w:color w:val="002060"/>
          <w:sz w:val="19"/>
          <w:szCs w:val="19"/>
          <w:shd w:val="clear" w:color="auto" w:fill="FFFFFF"/>
          <w:lang w:val="uk-UA"/>
        </w:rPr>
        <w:t>Допоміжні речовини: відсутні.</w:t>
      </w:r>
      <w:r w:rsidRPr="000F0444">
        <w:rPr>
          <w:rFonts w:ascii="Helvetica" w:hAnsi="Helvetica"/>
          <w:color w:val="002060"/>
          <w:sz w:val="19"/>
          <w:szCs w:val="19"/>
          <w:lang w:val="uk-UA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b/>
          <w:bCs/>
          <w:color w:val="002060"/>
          <w:u w:val="single"/>
          <w:shd w:val="clear" w:color="auto" w:fill="FFFFFF"/>
          <w:lang w:val="uk-UA" w:eastAsia="ru-RU"/>
        </w:rPr>
        <w:t>Рекомендації до споживання: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може бути рекомендована лікарем в якості дієтичної добавки до раціону харчування, як комбінований дієтичний засіб, що містить суміш натуральних інгредієнтів, які мають </w:t>
      </w:r>
      <w:proofErr w:type="spellStart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цитопротекторну</w:t>
      </w:r>
      <w:proofErr w:type="spellEnd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протизапальну </w:t>
      </w:r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та </w:t>
      </w:r>
      <w:proofErr w:type="spellStart"/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антихелікобактерну</w:t>
      </w:r>
      <w:proofErr w:type="spellEnd"/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дії</w:t>
      </w:r>
      <w:r w:rsidR="00CF37F8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сприяють зменше</w:t>
      </w:r>
      <w:r w:rsidR="00DA48ED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нню кислотності шлункового соку та</w:t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нейтралізують </w:t>
      </w:r>
      <w:r w:rsid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надлишкову </w:t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шлункову кислоту, виявляють </w:t>
      </w:r>
      <w:proofErr w:type="spellStart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спазмолітичні</w:t>
      </w:r>
      <w:proofErr w:type="spellEnd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властивості, стимулюють репаративні процеси в слизовій оболонці шлунку та дванадцятипалої кишки, регулюють функції травного тракту, нормалізують моторику </w:t>
      </w:r>
      <w:proofErr w:type="spellStart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киш</w:t>
      </w:r>
      <w:r w:rsidR="00DA48ED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ківника</w:t>
      </w:r>
      <w:proofErr w:type="spellEnd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. Як профілактичний засіб застосовують під час і після лікування препаратами, які подразнюють шлунково-кишковий тракт; при вживанні їжі, яка спричиняє підвищення кислотності шлункового соку; після зловживання алкоголем і тютюном.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</w:p>
    <w:p w:rsidR="00AD5E47" w:rsidRPr="000F0444" w:rsidRDefault="00AD5E47" w:rsidP="00CF37F8">
      <w:pPr>
        <w:pStyle w:val="a4"/>
        <w:rPr>
          <w:color w:val="002060"/>
          <w:sz w:val="19"/>
          <w:szCs w:val="19"/>
          <w:shd w:val="clear" w:color="auto" w:fill="FFFFFF"/>
          <w:lang w:val="uk-UA"/>
        </w:rPr>
      </w:pPr>
      <w:r w:rsidRPr="000F0444">
        <w:rPr>
          <w:color w:val="002060"/>
          <w:sz w:val="19"/>
          <w:szCs w:val="19"/>
          <w:shd w:val="clear" w:color="auto" w:fill="FFFFFF"/>
          <w:lang w:val="uk-UA"/>
        </w:rPr>
        <w:t>В</w:t>
      </w:r>
      <w:r w:rsidRPr="000F0444">
        <w:rPr>
          <w:rFonts w:ascii="Helvetica" w:hAnsi="Helvetica"/>
          <w:color w:val="002060"/>
          <w:sz w:val="19"/>
          <w:szCs w:val="19"/>
          <w:shd w:val="clear" w:color="auto" w:fill="FFFFFF"/>
          <w:lang w:val="uk-UA"/>
        </w:rPr>
        <w:t>ластивості компонентів: </w:t>
      </w:r>
    </w:p>
    <w:p w:rsidR="00DA48ED" w:rsidRPr="000F0444" w:rsidRDefault="005040F2" w:rsidP="00CF37F8">
      <w:pPr>
        <w:pStyle w:val="a4"/>
        <w:rPr>
          <w:color w:val="002060"/>
          <w:sz w:val="19"/>
          <w:szCs w:val="19"/>
          <w:shd w:val="clear" w:color="auto" w:fill="FFFFFF"/>
          <w:lang w:val="uk-UA"/>
        </w:rPr>
      </w:pP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proofErr w:type="spellStart"/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>Ембліка</w:t>
      </w:r>
      <w:proofErr w:type="spellEnd"/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 xml:space="preserve"> лікарська</w:t>
      </w:r>
      <w:r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 xml:space="preserve">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(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Emblica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officinalis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) або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Амла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– лікарська рослина, що усуває запалення, забезпечує захист слизової оболонки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шлунка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.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Амла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містить різні форми аскорбінової кислоти, сполучені з таніновим комплексом і галієвою кислотою. Завдяки цьому плоди рослини можуть зберігати вітамін С тривалий час,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біофлавоноїди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і каротиноїди мають разом із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аскорбінатами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виражені антиоксидантні властивості. Разом з катехінами, антиоксиданти перешкоджають розвитку атеросклерозу і різним імунним порушенням організму.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Глікозиди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і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сапоніни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рослини нормалізують функцію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кишківника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усуваючи запори, явища метеоризму і кишкові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кольки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. Природні антисептики в складі плодів </w:t>
      </w:r>
      <w:proofErr w:type="spellStart"/>
      <w:r w:rsidR="00176D1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Ембліки</w:t>
      </w:r>
      <w:proofErr w:type="spellEnd"/>
      <w:r w:rsidR="00176D1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лікарської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пригнічують життєдіяльність патогенної мікрофлори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кишківника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і статевих шляхів</w:t>
      </w:r>
      <w:r w:rsidR="000F306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повідомлялося про ефективність </w:t>
      </w:r>
      <w:proofErr w:type="spellStart"/>
      <w:r w:rsidR="000F306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Амли</w:t>
      </w:r>
      <w:proofErr w:type="spellEnd"/>
      <w:r w:rsidR="000F306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по відношенню до H. </w:t>
      </w:r>
      <w:proofErr w:type="spellStart"/>
      <w:r w:rsidR="000F306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Pylori</w:t>
      </w:r>
      <w:proofErr w:type="spellEnd"/>
      <w:r w:rsidR="000F306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в тому числі </w:t>
      </w:r>
      <w:r w:rsidR="00C42503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до </w:t>
      </w:r>
      <w:proofErr w:type="spellStart"/>
      <w:r w:rsidR="000F306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кларитроміцин</w:t>
      </w:r>
      <w:proofErr w:type="spellEnd"/>
      <w:r w:rsidR="000F306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-резистентних штамів</w:t>
      </w:r>
      <w:r w:rsidR="0021519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="0021519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Амла</w:t>
      </w:r>
      <w:proofErr w:type="spellEnd"/>
      <w:r w:rsidR="0021519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володіє протизапальною, антиоксидантною, </w:t>
      </w:r>
      <w:proofErr w:type="spellStart"/>
      <w:r w:rsidR="0021519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гепатозахисною</w:t>
      </w:r>
      <w:proofErr w:type="spellEnd"/>
      <w:r w:rsidR="0021519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та </w:t>
      </w:r>
      <w:proofErr w:type="spellStart"/>
      <w:r w:rsidR="0021519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гіпохолестеринемічною</w:t>
      </w:r>
      <w:proofErr w:type="spellEnd"/>
      <w:r w:rsidR="00215199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активністю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.</w:t>
      </w:r>
      <w:r w:rsidR="00C42503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>Льону насіння</w:t>
      </w:r>
      <w:r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 xml:space="preserve"> </w:t>
      </w:r>
      <w:r w:rsidR="00DA48ED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(</w:t>
      </w:r>
      <w:proofErr w:type="spellStart"/>
      <w:r w:rsidR="00DA48ED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Linum</w:t>
      </w:r>
      <w:proofErr w:type="spellEnd"/>
      <w:r w:rsidR="00DA48ED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proofErr w:type="spellStart"/>
      <w:r w:rsidR="00DA48ED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usitatissimum</w:t>
      </w:r>
      <w:proofErr w:type="spellEnd"/>
      <w:r w:rsidR="00DA48ED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)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містить олію жирну, до складу якої входять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гліцериди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кислот ліноленової,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лінолевої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олеїнової, пальмітинової і стеаринової, а також слиз, вуглеводи,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глікозид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лінамарин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кислоти органічні, ферменти, вітамін А. Цей комплекс біологічно активних речовин чинить обволікаючу, протизапальну дії, покриваючи тонким шаром слизові оболонки шлунково-кишкового тракту та запобігаючи їх подразненню. Шар слизу із насіння </w:t>
      </w:r>
      <w:r w:rsidR="00D50B24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льону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утримується досить довго, спричиняючи захисну дію при запаленні. Жирна олія, що міститься в насінні, чинить пом’якшувальну, протизапальну та посилюючу регенерацію тканин дію.</w:t>
      </w:r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Застосування екстракту насіння льону ефективно при запаленні стравоходу, гастритах, </w:t>
      </w:r>
      <w:proofErr w:type="spellStart"/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дуоденітах</w:t>
      </w:r>
      <w:proofErr w:type="spellEnd"/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виразковій хворобі шлунку і 12-ти палої кишки, як легкий послаблюючий засіб при запорах; завдяки </w:t>
      </w:r>
      <w:proofErr w:type="spellStart"/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гепатопротекторній</w:t>
      </w:r>
      <w:proofErr w:type="spellEnd"/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дії - при цироз</w:t>
      </w:r>
      <w:r w:rsid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і</w:t>
      </w:r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печінки, гепатитах, жировій дистрофії печінки, як жовчогінний засіб при </w:t>
      </w:r>
      <w:proofErr w:type="spellStart"/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холециститах</w:t>
      </w:r>
      <w:proofErr w:type="spellEnd"/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і для профілактики жовчнокам'яної хвороби. Застосування лляного екстракту покращує роботу підшлункової залози, знижує рівень цукру в крові; покращує обмінні процеси в організмі, знижує рівень холестерину в крові та сприяє розрідженню крові і зниженню ризику тромбоутворення.</w:t>
      </w:r>
    </w:p>
    <w:p w:rsidR="00DA48ED" w:rsidRPr="000F0444" w:rsidRDefault="005040F2" w:rsidP="00CF37F8">
      <w:pPr>
        <w:pStyle w:val="a4"/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</w:pPr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proofErr w:type="spellStart"/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>Хітозан</w:t>
      </w:r>
      <w:proofErr w:type="spellEnd"/>
      <w:r w:rsidRPr="000F0444">
        <w:rPr>
          <w:rFonts w:ascii="Arial" w:hAnsi="Arial" w:cs="Arial"/>
          <w:b/>
          <w:color w:val="002060"/>
          <w:shd w:val="clear" w:color="auto" w:fill="FFFFFF"/>
          <w:lang w:val="uk-UA" w:eastAsia="ru-RU"/>
        </w:rPr>
        <w:t xml:space="preserve"> </w:t>
      </w:r>
      <w:r w:rsidR="00494DF6" w:rsidRPr="000F0444">
        <w:rPr>
          <w:rFonts w:ascii="Arial" w:hAnsi="Arial" w:cs="Arial"/>
          <w:b/>
          <w:color w:val="002060"/>
          <w:shd w:val="clear" w:color="auto" w:fill="FFFFFF"/>
          <w:lang w:val="uk-UA" w:eastAsia="ru-RU"/>
        </w:rPr>
        <w:t>(</w:t>
      </w:r>
      <w:proofErr w:type="spellStart"/>
      <w:r w:rsidR="00494DF6" w:rsidRPr="000F0444">
        <w:rPr>
          <w:rFonts w:ascii="Arial" w:hAnsi="Arial" w:cs="Arial"/>
          <w:b/>
          <w:color w:val="002060"/>
          <w:shd w:val="clear" w:color="auto" w:fill="FFFFFF"/>
          <w:lang w:val="uk-UA" w:eastAsia="ru-RU"/>
        </w:rPr>
        <w:t>chitosan</w:t>
      </w:r>
      <w:proofErr w:type="spellEnd"/>
      <w:r w:rsidR="00494DF6" w:rsidRPr="000F0444">
        <w:rPr>
          <w:rFonts w:ascii="Arial" w:hAnsi="Arial" w:cs="Arial"/>
          <w:b/>
          <w:color w:val="002060"/>
          <w:shd w:val="clear" w:color="auto" w:fill="FFFFFF"/>
          <w:lang w:val="uk-UA" w:eastAsia="ru-RU"/>
        </w:rPr>
        <w:t>)</w:t>
      </w:r>
      <w:r w:rsidR="00494DF6"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 xml:space="preserve">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- це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амінополісахарид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з хітинових оболонок ракоподібних морських тварин; є джерелом натуральних харчових волокон, після потрапляння в організм людини, практично не засвоюючись, за рахунок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сорбційних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властивостей виводить з організму шкідливі речовини, алергени, жири, сприяє підтриманню нормальної мікрофлори травного тракту, зниженню кислотності шлункового соку, відновленню слизової шлунку, підсиленню перистальтики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кишківника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усуненню дисбактеріозу.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Хітозан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також має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імунокорегуючу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онкопротекторну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дії. Крім того, він покращує обмін речовин в підшлунковій залозі і печінці, оптимізує їх функції, тим самим попереджуючи порушення моторики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lastRenderedPageBreak/>
        <w:t xml:space="preserve">жовчовивідних шляхів і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кишківника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.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Хітозан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також має антибактеріальну і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антимікотичну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дії, сприяє кращому засвоєнню кальцію, укріпленню зубів і кісток, профілактиці остеопорозу.</w:t>
      </w:r>
    </w:p>
    <w:p w:rsidR="001605AE" w:rsidRPr="000F0444" w:rsidRDefault="001605AE" w:rsidP="00D270BA">
      <w:pPr>
        <w:pStyle w:val="a4"/>
        <w:rPr>
          <w:rFonts w:ascii="Arial" w:hAnsi="Arial" w:cs="Arial"/>
          <w:color w:val="002060"/>
          <w:sz w:val="20"/>
          <w:lang w:val="uk-UA" w:eastAsia="ru-RU"/>
        </w:rPr>
      </w:pPr>
    </w:p>
    <w:p w:rsidR="00926250" w:rsidRPr="000F0444" w:rsidRDefault="001605AE" w:rsidP="00926250">
      <w:pPr>
        <w:pStyle w:val="a4"/>
        <w:rPr>
          <w:rFonts w:ascii="Arial" w:hAnsi="Arial" w:cs="Arial"/>
          <w:color w:val="002060"/>
          <w:sz w:val="20"/>
          <w:lang w:val="uk-UA" w:eastAsia="ru-RU"/>
        </w:rPr>
      </w:pPr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>Кореневищ імбиру аптечного екстракт сухий (</w:t>
      </w:r>
      <w:proofErr w:type="spellStart"/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>Zingiber</w:t>
      </w:r>
      <w:proofErr w:type="spellEnd"/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 xml:space="preserve"> </w:t>
      </w:r>
      <w:proofErr w:type="spellStart"/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>officinalе</w:t>
      </w:r>
      <w:proofErr w:type="spellEnd"/>
      <w:r w:rsidRPr="000F0444">
        <w:rPr>
          <w:rFonts w:ascii="Arial" w:hAnsi="Arial" w:cs="Arial"/>
          <w:b/>
          <w:color w:val="002060"/>
          <w:u w:val="single"/>
          <w:shd w:val="clear" w:color="auto" w:fill="FFFFFF"/>
          <w:lang w:val="uk-UA" w:eastAsia="ru-RU"/>
        </w:rPr>
        <w:t>)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– лікувальні властивості забезпечуються унікальним хімічним складом: набір ефірних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масел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цінгібер</w:t>
      </w:r>
      <w:r w:rsidR="008147D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и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цінгерол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="0028539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гінгероли</w:t>
      </w:r>
      <w:proofErr w:type="spellEnd"/>
      <w:r w:rsidR="0028539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шагеол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а також жирні олії, крохмаль</w:t>
      </w:r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дубильні речовини</w:t>
      </w:r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вітаміни (аскорбінова кислота, </w:t>
      </w:r>
      <w:proofErr w:type="spellStart"/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ніацин</w:t>
      </w:r>
      <w:proofErr w:type="spellEnd"/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тіамін, рибофлавін, </w:t>
      </w:r>
      <w:proofErr w:type="spellStart"/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ретиноїди</w:t>
      </w:r>
      <w:proofErr w:type="spellEnd"/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і токофероли), </w:t>
      </w:r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всі незамінні амінокислоти, серед яких триптофан,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лейзин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метіонін, валін,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фениланин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треонін</w:t>
      </w:r>
      <w:proofErr w:type="spellEnd"/>
      <w:r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та інші.</w:t>
      </w:r>
      <w:r w:rsidR="000259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</w:t>
      </w:r>
      <w:r w:rsidR="001F5DDA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Завдяки такому складу Імбир чинить протизапальну</w:t>
      </w:r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знеболюючу</w:t>
      </w:r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та </w:t>
      </w:r>
      <w:proofErr w:type="spellStart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протинабрякову</w:t>
      </w:r>
      <w:proofErr w:type="spellEnd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дію</w:t>
      </w:r>
      <w:r w:rsidR="001F5DDA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</w:t>
      </w:r>
      <w:proofErr w:type="spellStart"/>
      <w:r w:rsidR="001F5DDA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спазмолітичну</w:t>
      </w:r>
      <w:proofErr w:type="spellEnd"/>
      <w:r w:rsidR="001F5DDA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антиоксидантну дію, стимулює периферичний кровообіг, тамує нудоту</w:t>
      </w:r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(дія подібна до </w:t>
      </w:r>
      <w:proofErr w:type="spellStart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метоклопраміду</w:t>
      </w:r>
      <w:proofErr w:type="spellEnd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)</w:t>
      </w:r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чинить </w:t>
      </w:r>
      <w:proofErr w:type="spellStart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вітрогінний</w:t>
      </w:r>
      <w:proofErr w:type="spellEnd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ефект при метеоризмі</w:t>
      </w:r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. </w:t>
      </w:r>
      <w:proofErr w:type="spellStart"/>
      <w:r w:rsidR="0028539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Гінгероли</w:t>
      </w:r>
      <w:proofErr w:type="spellEnd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що входять до складу Імбиру</w:t>
      </w:r>
      <w:r w:rsidR="0028539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володіють </w:t>
      </w:r>
      <w:proofErr w:type="spellStart"/>
      <w:r w:rsidR="0028539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антихелікобактерною</w:t>
      </w:r>
      <w:proofErr w:type="spellEnd"/>
      <w:r w:rsidR="00285395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активністю</w:t>
      </w:r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. І</w:t>
      </w:r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мбир сприяє нормалізації вироблення </w:t>
      </w:r>
      <w:proofErr w:type="spellStart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муцину</w:t>
      </w:r>
      <w:proofErr w:type="spellEnd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та чинить </w:t>
      </w:r>
      <w:proofErr w:type="spellStart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інгібуючу</w:t>
      </w:r>
      <w:proofErr w:type="spellEnd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дію щодо H +, K + -</w:t>
      </w:r>
      <w:proofErr w:type="spellStart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АТФази</w:t>
      </w:r>
      <w:proofErr w:type="spellEnd"/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за рахунок чого знижується вироблення соляної кислоти парієтальними клітинами слизової шлунк</w:t>
      </w:r>
      <w:r w:rsid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у</w:t>
      </w:r>
      <w:r w:rsidR="004538B6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.</w:t>
      </w:r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Крім того 6-гінгесульфонова кислота у складі Імбиру володіє </w:t>
      </w:r>
      <w:proofErr w:type="spellStart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противиразковим</w:t>
      </w:r>
      <w:proofErr w:type="spellEnd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ефектом</w:t>
      </w:r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. В</w:t>
      </w:r>
      <w:r w:rsidR="00527A07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тому числі Імбир ефективний у профілактиці виразки шлунку, індукованої нестероїдними протизапальними засобами (НПЗ</w:t>
      </w:r>
      <w:r w:rsidR="00D004AF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З</w:t>
      </w:r>
      <w:r w:rsidR="00527A07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, як </w:t>
      </w:r>
      <w:proofErr w:type="spellStart"/>
      <w:r w:rsidR="00527A07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індометацин</w:t>
      </w:r>
      <w:proofErr w:type="spellEnd"/>
      <w:r w:rsidR="00527A07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аспірин)</w:t>
      </w:r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. Імбир містить власні протеолітичні ферменти, що сприяє перетравленню їжі, також має </w:t>
      </w:r>
      <w:proofErr w:type="spellStart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гепатопротекторну</w:t>
      </w:r>
      <w:proofErr w:type="spellEnd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активність, подібну </w:t>
      </w:r>
      <w:proofErr w:type="spellStart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силімарину</w:t>
      </w:r>
      <w:proofErr w:type="spellEnd"/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.</w:t>
      </w:r>
    </w:p>
    <w:p w:rsidR="00D270BA" w:rsidRPr="000F0444" w:rsidRDefault="005040F2" w:rsidP="00D270BA">
      <w:pPr>
        <w:pStyle w:val="a4"/>
        <w:rPr>
          <w:rFonts w:ascii="Arial" w:hAnsi="Arial" w:cs="Arial"/>
          <w:color w:val="002060"/>
          <w:sz w:val="20"/>
          <w:lang w:val="uk-UA" w:eastAsia="ru-RU"/>
        </w:rPr>
      </w:pPr>
      <w:bookmarkStart w:id="0" w:name="_GoBack"/>
      <w:bookmarkEnd w:id="0"/>
      <w:r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DA48ED" w:rsidRPr="000F0444">
        <w:rPr>
          <w:rFonts w:ascii="Arial" w:hAnsi="Arial" w:cs="Arial"/>
          <w:b/>
          <w:color w:val="002060"/>
          <w:u w:val="single"/>
          <w:lang w:val="uk-UA" w:eastAsia="ru-RU"/>
        </w:rPr>
        <w:t>Кальцію та магнію карбонат</w:t>
      </w:r>
      <w:r w:rsidR="00DA48ED" w:rsidRPr="000F0444">
        <w:rPr>
          <w:rFonts w:ascii="Arial" w:hAnsi="Arial" w:cs="Arial"/>
          <w:color w:val="002060"/>
          <w:lang w:val="uk-UA" w:eastAsia="ru-RU"/>
        </w:rPr>
        <w:t xml:space="preserve"> </w:t>
      </w:r>
      <w:r w:rsidR="00DA48ED" w:rsidRPr="000F0444">
        <w:rPr>
          <w:rFonts w:ascii="Arial" w:hAnsi="Arial" w:cs="Arial"/>
          <w:color w:val="002060"/>
          <w:sz w:val="20"/>
          <w:lang w:val="uk-UA" w:eastAsia="ru-RU"/>
        </w:rPr>
        <w:t>чинять</w:t>
      </w:r>
      <w:r w:rsidR="0001767D" w:rsidRPr="000F0444">
        <w:rPr>
          <w:rFonts w:ascii="Arial" w:hAnsi="Arial" w:cs="Arial"/>
          <w:color w:val="002060"/>
          <w:sz w:val="20"/>
          <w:lang w:val="uk-UA" w:eastAsia="ru-RU"/>
        </w:rPr>
        <w:t xml:space="preserve"> антацидн</w:t>
      </w:r>
      <w:r w:rsidR="00DA48ED" w:rsidRPr="000F0444">
        <w:rPr>
          <w:rFonts w:ascii="Arial" w:hAnsi="Arial" w:cs="Arial"/>
          <w:color w:val="002060"/>
          <w:sz w:val="20"/>
          <w:lang w:val="uk-UA" w:eastAsia="ru-RU"/>
        </w:rPr>
        <w:t xml:space="preserve">у дію </w:t>
      </w:r>
      <w:r w:rsidR="00D270BA" w:rsidRPr="000F0444">
        <w:rPr>
          <w:rFonts w:ascii="Arial" w:hAnsi="Arial" w:cs="Arial"/>
          <w:color w:val="002060"/>
          <w:sz w:val="20"/>
          <w:lang w:val="uk-UA" w:eastAsia="ru-RU"/>
        </w:rPr>
        <w:t>- н</w:t>
      </w:r>
      <w:r w:rsidR="00DA48ED" w:rsidRPr="000F0444">
        <w:rPr>
          <w:rFonts w:ascii="Arial" w:hAnsi="Arial" w:cs="Arial"/>
          <w:color w:val="002060"/>
          <w:sz w:val="20"/>
          <w:lang w:val="uk-UA" w:eastAsia="ru-RU"/>
        </w:rPr>
        <w:t>ейтралізують вільну соляну кислоту в шлунку без вторинної гіперсекреції соляної кислоти</w:t>
      </w:r>
      <w:r w:rsidR="00AD5E47" w:rsidRPr="000F0444">
        <w:rPr>
          <w:rFonts w:ascii="Arial" w:hAnsi="Arial" w:cs="Arial"/>
          <w:color w:val="002060"/>
          <w:sz w:val="20"/>
          <w:lang w:val="uk-UA" w:eastAsia="ru-RU"/>
        </w:rPr>
        <w:t xml:space="preserve"> (підвищене виділення після прийому препарату)</w:t>
      </w:r>
      <w:r w:rsidR="00DA48ED" w:rsidRPr="000F0444">
        <w:rPr>
          <w:rFonts w:ascii="Arial" w:hAnsi="Arial" w:cs="Arial"/>
          <w:color w:val="002060"/>
          <w:sz w:val="20"/>
          <w:lang w:val="uk-UA" w:eastAsia="ru-RU"/>
        </w:rPr>
        <w:t xml:space="preserve"> і змінами кислотно-лужної рівноваги. </w:t>
      </w:r>
      <w:r w:rsidR="00D270BA" w:rsidRPr="000F0444">
        <w:rPr>
          <w:rFonts w:ascii="Arial" w:hAnsi="Arial" w:cs="Arial"/>
          <w:color w:val="002060"/>
          <w:sz w:val="20"/>
          <w:lang w:val="uk-UA" w:eastAsia="ru-RU"/>
        </w:rPr>
        <w:t>В шлунку кальцію карбонат і магнію карбонат вступають у реакцію з кислотою шлункового соку, утворюючи воду і розчинні мінеральні солі.</w:t>
      </w:r>
    </w:p>
    <w:p w:rsidR="00D270BA" w:rsidRPr="000F0444" w:rsidRDefault="00D270BA" w:rsidP="00D270BA">
      <w:pPr>
        <w:pStyle w:val="a4"/>
        <w:rPr>
          <w:rFonts w:ascii="Arial" w:hAnsi="Arial" w:cs="Arial"/>
          <w:color w:val="002060"/>
          <w:sz w:val="20"/>
          <w:lang w:val="uk-UA" w:eastAsia="ru-RU"/>
        </w:rPr>
      </w:pPr>
    </w:p>
    <w:p w:rsidR="00D270BA" w:rsidRPr="000F0444" w:rsidRDefault="00D270BA" w:rsidP="00494DF6">
      <w:pPr>
        <w:pStyle w:val="a4"/>
        <w:jc w:val="center"/>
        <w:rPr>
          <w:rFonts w:ascii="Arial" w:hAnsi="Arial" w:cs="Arial"/>
          <w:color w:val="002060"/>
          <w:sz w:val="20"/>
          <w:lang w:val="uk-UA" w:eastAsia="ru-RU"/>
        </w:rPr>
      </w:pPr>
      <w:r w:rsidRPr="000F0444">
        <w:rPr>
          <w:rFonts w:ascii="Arial" w:hAnsi="Arial" w:cs="Arial"/>
          <w:color w:val="002060"/>
          <w:sz w:val="20"/>
          <w:lang w:val="uk-UA" w:eastAsia="ru-RU"/>
        </w:rPr>
        <w:t>CaCO3 + 2HCl =&gt; CaCl2 + H2O + CO2</w:t>
      </w:r>
      <w:r w:rsidR="00494DF6" w:rsidRPr="000F0444">
        <w:rPr>
          <w:rFonts w:ascii="Arial" w:hAnsi="Arial" w:cs="Arial"/>
          <w:color w:val="002060"/>
          <w:sz w:val="20"/>
          <w:lang w:val="uk-UA" w:eastAsia="ru-RU"/>
        </w:rPr>
        <w:t xml:space="preserve">              </w:t>
      </w:r>
      <w:r w:rsidRPr="000F0444">
        <w:rPr>
          <w:rFonts w:ascii="Arial" w:hAnsi="Arial" w:cs="Arial"/>
          <w:color w:val="002060"/>
          <w:sz w:val="20"/>
          <w:lang w:val="uk-UA" w:eastAsia="ru-RU"/>
        </w:rPr>
        <w:t>MgCO3 + 2HCl =&gt; MgCl2 + H2O + CO2</w:t>
      </w:r>
    </w:p>
    <w:p w:rsidR="00D270BA" w:rsidRPr="000F0444" w:rsidRDefault="00D270BA" w:rsidP="00D270BA">
      <w:pPr>
        <w:pStyle w:val="a4"/>
        <w:rPr>
          <w:rFonts w:ascii="Arial" w:hAnsi="Arial" w:cs="Arial"/>
          <w:color w:val="002060"/>
          <w:sz w:val="20"/>
          <w:lang w:val="uk-UA" w:eastAsia="ru-RU"/>
        </w:rPr>
      </w:pPr>
    </w:p>
    <w:p w:rsidR="009534A6" w:rsidRPr="000F0444" w:rsidRDefault="00D270BA" w:rsidP="00D270BA">
      <w:pPr>
        <w:pStyle w:val="a4"/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</w:pPr>
      <w:r w:rsidRPr="000F0444">
        <w:rPr>
          <w:rFonts w:ascii="Arial" w:hAnsi="Arial" w:cs="Arial"/>
          <w:color w:val="002060"/>
          <w:sz w:val="20"/>
          <w:lang w:val="uk-UA" w:eastAsia="ru-RU"/>
        </w:rPr>
        <w:t xml:space="preserve">Кальцію карбонат має швидку, довготривалу та потужну нейтралізуючу дію. Цей ефект підсилюється за рахунок додавання магнію карбонату, який також має сильну нейтралізуючу дію. 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b/>
          <w:bCs/>
          <w:color w:val="002060"/>
          <w:shd w:val="clear" w:color="auto" w:fill="FFFFFF"/>
          <w:lang w:val="uk-UA" w:eastAsia="ru-RU"/>
        </w:rPr>
        <w:t>Спосіб вживання:</w:t>
      </w:r>
      <w:r w:rsidR="005040F2"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>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капсули приймати </w:t>
      </w:r>
      <w:proofErr w:type="spellStart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перорально</w:t>
      </w:r>
      <w:proofErr w:type="spellEnd"/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, ковтаючи цілими і запиваючи достатньою кількістю рідини (1 склянка питної води), по 1 капсулі 2-3 рази на добу, за 20-30 хвилин до вживання їжі.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Термін вживання: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- у складі комплексного лікування гострих та рецидивів хронічних запальних та виразкових захворювань слизових оболонок шлунково-кишкового тракту </w:t>
      </w:r>
      <w:r w:rsidR="00926250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по 1 капсулі 3 рази на добу протягом не менше</w:t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 xml:space="preserve"> 10-15 днів, бажано до 1 місяця;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- з профілактичною метою - під час і після (5-10 днів) лікування препаратами, які подразнюють шлунково-кишковий тракт;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- при вживанні їжі, яка спричиняє підвищення кислотності шлункового соку, після зловживання алкоголем - бажано застосовувати по 2 капсули через 1 годину після прийому їжі та за 1 годину до сну; 1 або 2 капсули можна прийняти додатково протягом доби у випадку печії або болю;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- у складі комплексної програми по зниженню ваги, виведенню з організму шлаків і токсинів, усуненню метаболічних розладів, профілактиці остеопорозу – 1 місяць.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В подальшому термін вживання та можливість повторного курсу узгоджувати з лікарем індивідуально.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Курсовий прийом можна повторювати 2-3 рази на рік, на тлі адекватної основному захворюванню дієти.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b/>
          <w:bCs/>
          <w:color w:val="002060"/>
          <w:shd w:val="clear" w:color="auto" w:fill="FFFFFF"/>
          <w:lang w:val="uk-UA" w:eastAsia="ru-RU"/>
        </w:rPr>
        <w:t>Застереження щодо застосування:</w:t>
      </w:r>
      <w:r w:rsidR="005040F2"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>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індивідуальна чутливість до компонентів продукту, жінкам в період вагітності та лактації.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Не перевищувати рекомендовану добову норму. Перед застосуванням проконсультуватися з лікарем.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Препарат не впливає на здатність керувати автомобілем або іншими механічними засобами.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b/>
          <w:bCs/>
          <w:color w:val="002060"/>
          <w:shd w:val="clear" w:color="auto" w:fill="FFFFFF"/>
          <w:lang w:val="uk-UA" w:eastAsia="ru-RU"/>
        </w:rPr>
        <w:t>Умови зберігання та строк придатності: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зберігати в упаковці виробника в сухому, захищеному від світла приміщенні за температури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від 2ºС до 25ºС.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b/>
          <w:bCs/>
          <w:color w:val="002060"/>
          <w:shd w:val="clear" w:color="auto" w:fill="FFFFFF"/>
          <w:lang w:val="uk-UA" w:eastAsia="ru-RU"/>
        </w:rPr>
        <w:t>Строк придатності:</w:t>
      </w:r>
      <w:r w:rsidR="005040F2"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> </w:t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2 роки з дати виготовлення. Зберігати в недоступному для дітей місці.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b/>
          <w:bCs/>
          <w:color w:val="002060"/>
          <w:shd w:val="clear" w:color="auto" w:fill="FFFFFF"/>
          <w:lang w:val="uk-UA" w:eastAsia="ru-RU"/>
        </w:rPr>
        <w:t>Форма випуску:</w:t>
      </w:r>
      <w:r w:rsidR="005040F2"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> 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тверді желатинові капсули, 10 капсул (по 400 мг) у блістері, по 6 блістерів у картонній коробці.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Дата виробництва та строк придатності: дивись на упаковці.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Не є лікарським засобом. Без ГМО.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b/>
          <w:bCs/>
          <w:color w:val="002060"/>
          <w:shd w:val="clear" w:color="auto" w:fill="FFFFFF"/>
          <w:lang w:val="uk-UA" w:eastAsia="ru-RU"/>
        </w:rPr>
        <w:t>Виробник:</w:t>
      </w:r>
      <w:r w:rsidR="005040F2" w:rsidRPr="000F0444">
        <w:rPr>
          <w:rFonts w:ascii="Arial" w:hAnsi="Arial" w:cs="Arial"/>
          <w:color w:val="002060"/>
          <w:shd w:val="clear" w:color="auto" w:fill="FFFFFF"/>
          <w:lang w:val="uk-UA" w:eastAsia="ru-RU"/>
        </w:rPr>
        <w:t> </w:t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ТОВ “Елемент здоров’я”, Україна, 03062, м. Київ, вул. Естонська, буд. 120.</w:t>
      </w:r>
      <w:r w:rsidR="005040F2" w:rsidRPr="000F0444">
        <w:rPr>
          <w:rFonts w:ascii="Arial" w:hAnsi="Arial" w:cs="Arial"/>
          <w:color w:val="002060"/>
          <w:sz w:val="20"/>
          <w:lang w:val="uk-UA" w:eastAsia="ru-RU"/>
        </w:rPr>
        <w:br/>
      </w:r>
      <w:r w:rsidR="005040F2" w:rsidRPr="000F0444">
        <w:rPr>
          <w:rFonts w:ascii="Arial" w:hAnsi="Arial" w:cs="Arial"/>
          <w:color w:val="002060"/>
          <w:sz w:val="20"/>
          <w:shd w:val="clear" w:color="auto" w:fill="FFFFFF"/>
          <w:lang w:val="uk-UA" w:eastAsia="ru-RU"/>
        </w:rPr>
        <w:t>Дозволено Міністерством охорони здоров'я України, ТУ У 10.8-38405950-004:2016 </w:t>
      </w:r>
    </w:p>
    <w:sectPr w:rsidR="009534A6" w:rsidRPr="000F0444" w:rsidSect="000F044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F2"/>
    <w:rsid w:val="0001767D"/>
    <w:rsid w:val="000259F2"/>
    <w:rsid w:val="000F0444"/>
    <w:rsid w:val="000F3069"/>
    <w:rsid w:val="0013133B"/>
    <w:rsid w:val="001605AE"/>
    <w:rsid w:val="00176D15"/>
    <w:rsid w:val="001F5DDA"/>
    <w:rsid w:val="00215199"/>
    <w:rsid w:val="00285395"/>
    <w:rsid w:val="003B14C8"/>
    <w:rsid w:val="003E6596"/>
    <w:rsid w:val="004538B6"/>
    <w:rsid w:val="00494DF6"/>
    <w:rsid w:val="005040F2"/>
    <w:rsid w:val="00527A07"/>
    <w:rsid w:val="00625FF5"/>
    <w:rsid w:val="00677564"/>
    <w:rsid w:val="00763BAE"/>
    <w:rsid w:val="008147D2"/>
    <w:rsid w:val="00926250"/>
    <w:rsid w:val="00AD5E47"/>
    <w:rsid w:val="00C42503"/>
    <w:rsid w:val="00CF37F8"/>
    <w:rsid w:val="00D004AF"/>
    <w:rsid w:val="00D270BA"/>
    <w:rsid w:val="00D50B24"/>
    <w:rsid w:val="00DA48ED"/>
    <w:rsid w:val="00E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862E"/>
  <w15:chartTrackingRefBased/>
  <w15:docId w15:val="{5CE963A2-FA93-4FC5-A5BA-C21BE95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40F2"/>
    <w:rPr>
      <w:b/>
      <w:bCs/>
    </w:rPr>
  </w:style>
  <w:style w:type="paragraph" w:styleId="a4">
    <w:name w:val="No Spacing"/>
    <w:uiPriority w:val="1"/>
    <w:qFormat/>
    <w:rsid w:val="00CF37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237</cp:lastModifiedBy>
  <cp:revision>5</cp:revision>
  <cp:lastPrinted>2018-12-13T15:17:00Z</cp:lastPrinted>
  <dcterms:created xsi:type="dcterms:W3CDTF">2019-04-19T13:10:00Z</dcterms:created>
  <dcterms:modified xsi:type="dcterms:W3CDTF">2019-05-28T12:48:00Z</dcterms:modified>
</cp:coreProperties>
</file>