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986" w:rsidRPr="00AF6986" w:rsidRDefault="00AF6986" w:rsidP="00AF698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</w:pPr>
      <w:r w:rsidRPr="00AF6986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ІНСТРУКЦІЯ</w:t>
      </w:r>
    </w:p>
    <w:p w:rsidR="00AF6986" w:rsidRPr="00AF6986" w:rsidRDefault="00AF6986" w:rsidP="00AF698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</w:pPr>
      <w:r w:rsidRPr="00AF6986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для застосування препарату</w:t>
      </w:r>
    </w:p>
    <w:p w:rsidR="00AF6986" w:rsidRPr="00AF6986" w:rsidRDefault="00AF6986" w:rsidP="00AF6986">
      <w:pPr>
        <w:shd w:val="clear" w:color="auto" w:fill="FFFFFF"/>
        <w:spacing w:after="0" w:line="574" w:lineRule="atLeast"/>
        <w:jc w:val="center"/>
        <w:outlineLvl w:val="1"/>
        <w:rPr>
          <w:rFonts w:ascii="Helvetica" w:eastAsia="Times New Roman" w:hAnsi="Helvetica" w:cs="Helvetica"/>
          <w:b/>
          <w:bCs/>
          <w:caps/>
          <w:color w:val="3A3A3A"/>
          <w:sz w:val="44"/>
          <w:szCs w:val="44"/>
          <w:lang w:eastAsia="ru-RU"/>
        </w:rPr>
      </w:pPr>
      <w:r w:rsidRPr="00AF6986">
        <w:rPr>
          <w:rFonts w:ascii="Arial" w:eastAsia="Times New Roman" w:hAnsi="Arial" w:cs="Arial"/>
          <w:b/>
          <w:bCs/>
          <w:caps/>
          <w:color w:val="3A3A3A"/>
          <w:sz w:val="44"/>
          <w:szCs w:val="44"/>
          <w:lang w:eastAsia="ru-RU"/>
        </w:rPr>
        <w:t>ТОКСІКЛІН</w:t>
      </w:r>
      <w:r w:rsidRPr="00AF6986">
        <w:rPr>
          <w:rFonts w:ascii="Helvetica" w:eastAsia="Times New Roman" w:hAnsi="Helvetica" w:cs="Helvetica"/>
          <w:b/>
          <w:bCs/>
          <w:caps/>
          <w:color w:val="3A3A3A"/>
          <w:sz w:val="44"/>
          <w:szCs w:val="44"/>
          <w:lang w:eastAsia="ru-RU"/>
        </w:rPr>
        <w:t>®</w:t>
      </w:r>
    </w:p>
    <w:p w:rsidR="009D41D9" w:rsidRDefault="00AF6986" w:rsidP="00AF6986">
      <w:r w:rsidRPr="00AF6986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  </w:t>
      </w:r>
      <w:r w:rsidRPr="00AF6986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AF6986">
        <w:rPr>
          <w:rFonts w:ascii="Helvetica" w:eastAsia="Times New Roman" w:hAnsi="Helvetica" w:cs="Helvetica"/>
          <w:b/>
          <w:bCs/>
          <w:color w:val="3A3A3A"/>
          <w:sz w:val="19"/>
          <w:szCs w:val="19"/>
          <w:shd w:val="clear" w:color="auto" w:fill="FFFFFF"/>
          <w:lang w:eastAsia="ru-RU"/>
        </w:rPr>
        <w:t>Вміст 1 капсули:</w:t>
      </w:r>
      <w:r w:rsidRPr="00AF6986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 </w:t>
      </w:r>
      <w:r w:rsidRPr="00AF6986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AF6986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екстракт плодів розторопши плямистої (Silybum marianum) - 100 мг;</w:t>
      </w:r>
      <w:r w:rsidRPr="00AF6986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AF6986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екстракт листя зеленого чаю (Caméllia sinénsis) - 100 мг;</w:t>
      </w:r>
      <w:r w:rsidRPr="00AF6986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AF6986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екстракт листя артишоку (Cynara) - 100 мг; </w:t>
      </w:r>
      <w:r w:rsidRPr="00AF6986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AF6986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L-аргінін у формі порошку - 50 мг; </w:t>
      </w:r>
      <w:r w:rsidRPr="00AF6986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AF6986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L-карнітин у формі порошку - 50 мг. </w:t>
      </w:r>
      <w:r w:rsidRPr="00AF6986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AF6986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AF6986">
        <w:rPr>
          <w:rFonts w:ascii="Helvetica" w:eastAsia="Times New Roman" w:hAnsi="Helvetica" w:cs="Helvetica"/>
          <w:b/>
          <w:bCs/>
          <w:color w:val="3A3A3A"/>
          <w:sz w:val="19"/>
          <w:szCs w:val="19"/>
          <w:shd w:val="clear" w:color="auto" w:fill="FFFFFF"/>
          <w:lang w:eastAsia="ru-RU"/>
        </w:rPr>
        <w:t>Рекомендації щодо споживання:</w:t>
      </w:r>
      <w:r w:rsidRPr="00AF6986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AF6986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дієтична добавка до раціону харчування, яка сприяє виведенню з організму шкідливих речовин і токсинів. Має гепатопротекторні та детокcикаційні властивості. Може бути рекомендована для підвищення стійкості організму людини до несприятливих факторів довкілля, особливо з ризиком ушкодження печінки.</w:t>
      </w:r>
      <w:r w:rsidRPr="00AF6986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AF6986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AF6986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Основними діючими речовинами екстракту росторопші є флавоноїди та флавонолігнани – силібінін, силікрістин та силідіанін. Нативну суміш їх прийнято називати силімарином. Препарати розторопші широко використовуються в терапії хронічного гепатиту, цирозу печінки, холелітіазі. In vitro доведено, що силібінін блокує злиття вірусу гепатиту С з ліпосомами гепатоцитів, що гальмує розмноження та розповсюдження вірусу. </w:t>
      </w:r>
      <w:r w:rsidRPr="00AF6986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AF6986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AF6986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Екстракт зеленого чаю використовують для боротьби з продуктами вільнорадикального і перекисного окислення ліпідів. Основні властивості екстракту зеленого чаю пояснюються таніном і різноманітними поліфенолами, що містяться у ньому. Ефект досягається за рахунок розщеплення ліпідних молекул (жирових відкладень), прискорення виведення жиру з організму і регуляції загального обміну речовин. </w:t>
      </w:r>
      <w:r w:rsidRPr="00AF6986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AF6986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AF6986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Екстракт артишоку мають жовчогінну, протизапальну та гепатопротекторну дію. Сприяють виділенню з організму шкідливих речовин, азотовмісних речовин (сечовини, креатиніну), токсинів. Наявні в артишоці аскорбінова кислота, каротин, вітаміни В1 та В2, сприяють нормалізації процесів обміну. Екстракт артишоку зменшує рівень холестерину і цукру в крові. Сприяє регенерації клітин печінки і кровообігу. У терапевтичній практиці використовується при захворюваннях печінки, що супроводжуються її функціональною недостатністю (гепатити, стеатогепатози, цироз печінки).</w:t>
      </w:r>
      <w:r w:rsidRPr="00AF6986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AF6986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AF6986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L- аргінін є незамінною амінокислотою. Аргінін – ключова молекула в циклі синтезу сечовини, котрий в організмі людини протікає виключно в гепатоцитах. В результаті послідовності біохімічних реакцій з організму виводяться у вигляді нейтральної сечовини шкідливі азотвмісні продукти обміну.</w:t>
      </w:r>
      <w:r w:rsidRPr="00AF6986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AF6986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AF6986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L-картнітин являється вітаміноподібною речовиною. Досконало вивчена його роль у транспорті жирних кислот в мітохондрії гепатоцитів з подальшим їх розщепленням. Описана позитивна роль карнітину при стеатогепатозах та хронічному гепатиті з жировою інфільтрацією печінки а також при алкогольному ураженні печінки.</w:t>
      </w:r>
      <w:r w:rsidRPr="00AF6986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AF6986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AF6986">
        <w:rPr>
          <w:rFonts w:ascii="Helvetica" w:eastAsia="Times New Roman" w:hAnsi="Helvetica" w:cs="Helvetica"/>
          <w:b/>
          <w:bCs/>
          <w:color w:val="3A3A3A"/>
          <w:sz w:val="19"/>
          <w:szCs w:val="19"/>
          <w:shd w:val="clear" w:color="auto" w:fill="FFFFFF"/>
          <w:lang w:eastAsia="ru-RU"/>
        </w:rPr>
        <w:t>Рекомендовано вживати:</w:t>
      </w:r>
      <w:r w:rsidRPr="00AF6986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 по 1-2 капсули двічі на день під час приймання їжі .</w:t>
      </w:r>
      <w:r w:rsidRPr="00AF6986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AF6986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AF6986">
        <w:rPr>
          <w:rFonts w:ascii="Helvetica" w:eastAsia="Times New Roman" w:hAnsi="Helvetica" w:cs="Helvetica"/>
          <w:b/>
          <w:bCs/>
          <w:color w:val="3A3A3A"/>
          <w:sz w:val="19"/>
          <w:szCs w:val="19"/>
          <w:shd w:val="clear" w:color="auto" w:fill="FFFFFF"/>
          <w:lang w:eastAsia="ru-RU"/>
        </w:rPr>
        <w:t>Термін вживання:</w:t>
      </w:r>
      <w:r w:rsidRPr="00AF6986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 Тривалість курсу 30 днів. Рекомендується повторювати курс 3–4 рази на рік. Перед застосуванням рекомендовано порадитись з лікарем.</w:t>
      </w:r>
      <w:r w:rsidRPr="00AF6986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AF6986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AF6986">
        <w:rPr>
          <w:rFonts w:ascii="Helvetica" w:eastAsia="Times New Roman" w:hAnsi="Helvetica" w:cs="Helvetica"/>
          <w:b/>
          <w:bCs/>
          <w:color w:val="3A3A3A"/>
          <w:sz w:val="19"/>
          <w:szCs w:val="19"/>
          <w:shd w:val="clear" w:color="auto" w:fill="FFFFFF"/>
          <w:lang w:eastAsia="ru-RU"/>
        </w:rPr>
        <w:t>Застереження щодо застосування:</w:t>
      </w:r>
      <w:r w:rsidRPr="00AF6986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 індивідуальна чутливість до компонентів.</w:t>
      </w:r>
      <w:r w:rsidRPr="00AF6986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AF6986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AF6986">
        <w:rPr>
          <w:rFonts w:ascii="Helvetica" w:eastAsia="Times New Roman" w:hAnsi="Helvetica" w:cs="Helvetica"/>
          <w:b/>
          <w:bCs/>
          <w:color w:val="3A3A3A"/>
          <w:sz w:val="19"/>
          <w:szCs w:val="19"/>
          <w:shd w:val="clear" w:color="auto" w:fill="FFFFFF"/>
          <w:lang w:eastAsia="ru-RU"/>
        </w:rPr>
        <w:t>Умови зберігання:</w:t>
      </w:r>
      <w:r w:rsidRPr="00AF6986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 зберігати в упаковці виробника в сухому, захищеному від світла приміщенні за температури від 2°С до 25°С. Строк придатності 2 роки з дати виготовлення. Зберігати в недоступному для дітей місці.</w:t>
      </w:r>
      <w:r w:rsidRPr="00AF6986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AF6986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AF6986">
        <w:rPr>
          <w:rFonts w:ascii="Helvetica" w:eastAsia="Times New Roman" w:hAnsi="Helvetica" w:cs="Helvetica"/>
          <w:b/>
          <w:bCs/>
          <w:color w:val="3A3A3A"/>
          <w:sz w:val="19"/>
          <w:szCs w:val="19"/>
          <w:shd w:val="clear" w:color="auto" w:fill="FFFFFF"/>
          <w:lang w:eastAsia="ru-RU"/>
        </w:rPr>
        <w:t>Пакування:</w:t>
      </w:r>
      <w:r w:rsidRPr="00AF6986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 60 капсул по 400 мг.</w:t>
      </w:r>
      <w:r w:rsidRPr="00AF6986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AF6986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AF6986">
        <w:rPr>
          <w:rFonts w:ascii="Helvetica" w:eastAsia="Times New Roman" w:hAnsi="Helvetica" w:cs="Helvetica"/>
          <w:b/>
          <w:bCs/>
          <w:color w:val="3A3A3A"/>
          <w:sz w:val="19"/>
          <w:szCs w:val="19"/>
          <w:shd w:val="clear" w:color="auto" w:fill="FFFFFF"/>
          <w:lang w:eastAsia="ru-RU"/>
        </w:rPr>
        <w:t>Дата виробництва та строк придатності:</w:t>
      </w:r>
      <w:r w:rsidRPr="00AF6986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 дивись на упаковці.</w:t>
      </w:r>
      <w:r w:rsidRPr="00AF6986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AF6986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AF6986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Не є лікарським засобом. Без ГМО.</w:t>
      </w:r>
      <w:r w:rsidRPr="00AF6986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AF6986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lastRenderedPageBreak/>
        <w:br/>
      </w:r>
      <w:r w:rsidRPr="00AF6986">
        <w:rPr>
          <w:rFonts w:ascii="Helvetica" w:eastAsia="Times New Roman" w:hAnsi="Helvetica" w:cs="Helvetica"/>
          <w:b/>
          <w:bCs/>
          <w:color w:val="3A3A3A"/>
          <w:sz w:val="19"/>
          <w:szCs w:val="19"/>
          <w:shd w:val="clear" w:color="auto" w:fill="FFFFFF"/>
          <w:lang w:eastAsia="ru-RU"/>
        </w:rPr>
        <w:t>Виробник:</w:t>
      </w:r>
      <w:r w:rsidRPr="00AF6986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AF6986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ТОВ “Елемент здоров’я”, Україна, 03062, м. Київ вул. Естонська, буд.120.</w:t>
      </w:r>
      <w:r w:rsidRPr="00AF6986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AF6986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Дозволено Міністерством охо</w:t>
      </w:r>
      <w:bookmarkStart w:id="0" w:name="_GoBack"/>
      <w:bookmarkEnd w:id="0"/>
      <w:r w:rsidRPr="00AF6986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рони здоров’я України. ТУ У 10.8-33558748-003:2012</w:t>
      </w:r>
    </w:p>
    <w:sectPr w:rsidR="009D4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29"/>
    <w:rsid w:val="00384629"/>
    <w:rsid w:val="009D41D9"/>
    <w:rsid w:val="00A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B4FBF-7DD4-4F5D-AC3F-142E7C78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69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69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F69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243</dc:creator>
  <cp:keywords/>
  <dc:description/>
  <cp:lastModifiedBy>243</cp:lastModifiedBy>
  <cp:revision>3</cp:revision>
  <dcterms:created xsi:type="dcterms:W3CDTF">2019-04-04T11:52:00Z</dcterms:created>
  <dcterms:modified xsi:type="dcterms:W3CDTF">2019-04-04T11:52:00Z</dcterms:modified>
</cp:coreProperties>
</file>