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93" w:rsidRDefault="00446A93" w:rsidP="00446A93">
      <w:pPr>
        <w:shd w:val="clear" w:color="auto" w:fill="FFFFFF"/>
        <w:jc w:val="center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ІНСТРУКЦІЯ</w:t>
      </w:r>
    </w:p>
    <w:p w:rsidR="00446A93" w:rsidRDefault="00446A93" w:rsidP="00446A93">
      <w:pPr>
        <w:shd w:val="clear" w:color="auto" w:fill="FFFFFF"/>
        <w:jc w:val="center"/>
        <w:rPr>
          <w:rFonts w:ascii="Helvetica" w:hAnsi="Helvetica" w:cs="Helvetica"/>
          <w:color w:val="3A3A3A"/>
          <w:sz w:val="19"/>
          <w:szCs w:val="19"/>
        </w:rPr>
      </w:pPr>
      <w:r>
        <w:rPr>
          <w:rFonts w:ascii="Helvetica" w:hAnsi="Helvetica" w:cs="Helvetica"/>
          <w:color w:val="3A3A3A"/>
          <w:sz w:val="19"/>
          <w:szCs w:val="19"/>
        </w:rPr>
        <w:t>для застосування препарату</w:t>
      </w:r>
    </w:p>
    <w:p w:rsidR="00446A93" w:rsidRDefault="00446A93" w:rsidP="00446A93">
      <w:pPr>
        <w:pStyle w:val="2"/>
        <w:shd w:val="clear" w:color="auto" w:fill="FFFFFF"/>
        <w:spacing w:before="0" w:beforeAutospacing="0" w:after="0" w:afterAutospacing="0" w:line="574" w:lineRule="atLeast"/>
        <w:jc w:val="center"/>
        <w:rPr>
          <w:rFonts w:ascii="Helvetica" w:hAnsi="Helvetica" w:cs="Helvetica"/>
          <w:caps/>
          <w:color w:val="3A3A3A"/>
          <w:sz w:val="44"/>
          <w:szCs w:val="44"/>
        </w:rPr>
      </w:pPr>
      <w:r>
        <w:rPr>
          <w:rFonts w:ascii="Arial" w:hAnsi="Arial" w:cs="Arial"/>
          <w:caps/>
          <w:color w:val="3A3A3A"/>
          <w:sz w:val="44"/>
          <w:szCs w:val="44"/>
        </w:rPr>
        <w:t>КАРДІОКЛІН</w:t>
      </w:r>
      <w:r>
        <w:rPr>
          <w:rFonts w:ascii="Helvetica" w:hAnsi="Helvetica" w:cs="Helvetica"/>
          <w:caps/>
          <w:color w:val="3A3A3A"/>
          <w:sz w:val="44"/>
          <w:szCs w:val="44"/>
        </w:rPr>
        <w:t>®</w:t>
      </w:r>
    </w:p>
    <w:p w:rsidR="009534A6" w:rsidRPr="00446A93" w:rsidRDefault="00446A93" w:rsidP="00446A93"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 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Вміст 1 капсули: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листя гінкго білоби екстракт сухий (Ginkgo biloba) - 100 мг;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коренів оману екстракт сухий (Ínula) - 80 мг;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квітів і листя конюшини лучної екстракт сухий (Trifolium pratense) - 60 мг;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квіток та плодів глоду екстракт сухий (Crataegus) - 60 мг;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плодів та кісточок винограду екстракт сухий (Vitis) - 50 мг;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барвінка екстракт сухий (Vinca) - 50 мг.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Показання щодо застосування: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дієтична добавка до раціону харчування, яка може бути рекомендована для нормалізації функціонування серцево-судинної системи, покращуює інотропну функцію міокарду, зменшує потребу міокарду в кисні, підвищує його толерантність до фізичних навантажень. Також чинить протинабряковий, антиангінальний, кардіо- та коронаропротекторний ефект. Не впливає на системний артеріальний тиск.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В екстракті листя гінкго білоби (Ginkgo biloba) міститься гінкгетин, кемпферол, кверцетин, білобетин та ряд інших флавоноїдів; нонакозан, гексакозанол, аментофлавон (біфлавоноїд), пініт; шикімова, хінна, ліноленова та гідрогінкголова кислоти; терпени, катехіни, лактони, крохмаль, віск, пентозан, маннан, fS-ситостерин, ефірна та жирна олії. Гінкго білоба впливає на реологічні властивості крові, запобігає агрегації тромбоцитів, зменшуючи її в’язкість і ймовірність утворення тромбів в судинах, має судинорозширювальну дію перш за все на судини мікроциркуляторного русла, усуває застійні явища у венозній системі, має протинабряковий ефект. Гінкго білоба усуває циркуляторні порушення, відновлює еластичність і міцність судин, покращує живлення серцевого м'яза. Нормалізує метаболічні процеси, чинить нейропротекторну, антигіпоксичну та антиокс</w:t>
      </w:r>
      <w:bookmarkStart w:id="0" w:name="_GoBack"/>
      <w:bookmarkEnd w:id="0"/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идантну дії. Гінкго білоба покращує самопочуття при хронічній втомі і перевтомі, має антидепресивні властивості, сповільнює процес старіння і розвитку атеросклеротичних процесів.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Екстракт корневищ та коренів оману (Ínula) містить інулін (до 44 %) та інші полісахариди, що сприяють зниженню рівня глюкози, холестерину й тригліцеридів у крові, відновлює ушкоджені стінки судин при атеросклерозі, поліпшує кровопостачання, нормалізує обмін речовин. Крім інуліну оман містить в своїй ефірній олії алкалоїди геленін та алантолактон. Перший з них здатен тропно розширювати судини мікроциркуляторного русла, в тому числі коронарні, з чим пов’язується протиішемічний та антиангінальний ефекти. Алантолактон відповідає за антигіпоксичний та антиоксидантний ефект.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Суцвіття конюшини лучної містять глікозиди аспарагін, трифолін та ізотрифолін, ефірну і жирну олії, саліцилову та кумаринову кислоту та інші органічні кислоти, каротин, вітаміни С, Е, В1, В2, К та фітоестрогени. Описаний позитивний вплив конюшини при атеросклерозі, який реалізується за рахунок впливу рівень в крові холестерину та атерогенних ліпопротеїнів. Також за рахунок НПВП-подібної дії зменшуться агрегація тромбоцитів, знижується ризик винекнення тромбозів, інфарктів та інсультів.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Екстракт квіток і плодів глоду (Crataegus) містить гіперозид, кверцетин, вітексин, сапонаретин, орієнтин, гомоорієнтин, рамнозиди вітексину, фенолокислоти (кавова, хлорогенова), аміни (холін, ацетилхолін, триметиламін). У плодах глоду знайдено органічні кислоти, цукри, сорбіт, пектинові речовини (1,9—6,1%), аскорбінову кислоту (18—100 мг %) , В-каротин (0,4—2,7 мг %), вітамін К, фенольні сполуки (антоціани, лейкоантоціани, катехіни, флавоноли, фенолокислоти тощо), кумарини (0,7—3,4%), стерини, тритерпенові кислоти (урсолову, олеанолову).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Глід чинить м'яку кардіотонічну, антиангінальну, антиоксидантну, антиаритмічну, антиагрегантну та спазмолітичну дію. Поліпшує кровопостачання та функціональний стан міокарда, скорочувальну та насосну функції серцевого м'яза та нормалізує частоту серцевих скорочень.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До складу екстракту плодів та кісточок винограду (Vitis) входять вітаміни групи В, бета-каротин, вітаміни А, С, Е, Н, РР; мікроелементи - кальцій, магній, натрій, калій, фосфор, хлор, сірка; мікроелементи - залізо, цинк, йод, мідь, марганець, хром, фтор, молібден, бор, ванадій, кремній, кобальт, алюміній, нікель, рубідій, натуральні цукри, пектини, білок, органічні кислоти та ненасичені жирні кислоти.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 xml:space="preserve">Діючі речовини плодів та кісточок винограду сприяють зниженню в крові рівня холестерину, захисту серця від стресових гормонів та передчасного зношування, підвищують еластичність і міцність стінок 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lastRenderedPageBreak/>
        <w:t>кровоносних судин. Покращують кровообіг при функціональному розладі кровоносних судин мозку, мають виражені протинабрякову та антигіпоксичну властивості на тканини.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Екстракт барвінку (Vinca) містить в собі алкалоїди індольного ряду і вінкамін, дубильні речовини, сапоніни, цукри, біофлаваноїди, гіркоти, аскорбінову кислоту, рутин, каротин. Алкалоїд вінкамін, що входить до складу багатьох лікарських засобів, спричиняє комплексну кардіо- та нейропротекторну дію, покращує кровообіг та трофіку міокарду та головного мозку. Використовується як нейропротектор, в тому числі для боротьби з наслідками уражень в постінсультному періоді, енцефалопатіях судинного генезу.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В офтальмології барвінок малий використовують для поліпшення кровообігу в басейні артеріальних судин сітківки при ангіоретинопатіях.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Спосіб застосування та дозування: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по 1-2 капсули двічі на день під час приймання їжі. Тривалість курсу 30 днів. Проведення повторного курсу можливе через 10 днів після консультації з лікарем. Перед застосуванням рекомендовано проконсультуватися з лікарем.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Застереження при застосуванні: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індивідуальна чутливість до компонентів, вагітність, період лактації, дітям до 14 років.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Препарат не впливає на здатність керувати автомобілем або іншими механічними засобами.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Умови зберігання та термін придатності: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зберігати в упаковці виробника у сухому, захищеному від світла та недоступному для дітей місці за температури від 2°С до 25°С. Строк придатності - 2 роки з дати виготовлення. 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Пакування: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60 капсул по 400 мг.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Дата виробництва та строк придатності:</w:t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 дивись на упаковці.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Не є лікарським засобом.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Style w:val="a4"/>
          <w:rFonts w:ascii="Helvetica" w:hAnsi="Helvetica" w:cs="Helvetica"/>
          <w:color w:val="3A3A3A"/>
          <w:sz w:val="19"/>
          <w:szCs w:val="19"/>
          <w:shd w:val="clear" w:color="auto" w:fill="FFFFFF"/>
        </w:rPr>
        <w:t>Виробник: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ТОВ “Елемент здоров’я”, Україна, 03062, м. Київ вул. Естонська, буд. 120.</w:t>
      </w:r>
      <w:r>
        <w:rPr>
          <w:rFonts w:ascii="Helvetica" w:hAnsi="Helvetica" w:cs="Helvetica"/>
          <w:color w:val="3A3A3A"/>
          <w:sz w:val="19"/>
          <w:szCs w:val="19"/>
        </w:rPr>
        <w:br/>
      </w:r>
      <w:r>
        <w:rPr>
          <w:rFonts w:ascii="Helvetica" w:hAnsi="Helvetica" w:cs="Helvetica"/>
          <w:color w:val="3A3A3A"/>
          <w:sz w:val="19"/>
          <w:szCs w:val="19"/>
          <w:shd w:val="clear" w:color="auto" w:fill="FFFFFF"/>
        </w:rPr>
        <w:t>Дозволено Міністерством охорони здоров’я України ТУ У 10.8-33558748-003:2012</w:t>
      </w:r>
    </w:p>
    <w:sectPr w:rsidR="009534A6" w:rsidRPr="0044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5"/>
    <w:rsid w:val="003E6596"/>
    <w:rsid w:val="00446A93"/>
    <w:rsid w:val="00625FF5"/>
    <w:rsid w:val="009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395E-AF54-4AC1-BC18-8746DCA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7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243</cp:lastModifiedBy>
  <cp:revision>3</cp:revision>
  <dcterms:created xsi:type="dcterms:W3CDTF">2019-01-15T09:35:00Z</dcterms:created>
  <dcterms:modified xsi:type="dcterms:W3CDTF">2019-04-04T11:24:00Z</dcterms:modified>
</cp:coreProperties>
</file>