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4C" w:rsidRPr="00DA28BF" w:rsidRDefault="00C4364C" w:rsidP="00C436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A3A3A"/>
          <w:szCs w:val="19"/>
          <w:lang w:eastAsia="ru-RU"/>
        </w:rPr>
      </w:pPr>
      <w:r w:rsidRPr="00DA28BF">
        <w:rPr>
          <w:rFonts w:ascii="Tahoma" w:eastAsia="Times New Roman" w:hAnsi="Tahoma" w:cs="Tahoma"/>
          <w:color w:val="3A3A3A"/>
          <w:szCs w:val="19"/>
          <w:lang w:eastAsia="ru-RU"/>
        </w:rPr>
        <w:t>ІНСТРУКЦІЯ</w:t>
      </w:r>
    </w:p>
    <w:p w:rsidR="00C4364C" w:rsidRPr="00DA28BF" w:rsidRDefault="00C4364C" w:rsidP="00C436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A3A3A"/>
          <w:szCs w:val="19"/>
          <w:lang w:eastAsia="ru-RU"/>
        </w:rPr>
      </w:pPr>
      <w:r w:rsidRPr="00DA28BF">
        <w:rPr>
          <w:rFonts w:ascii="Tahoma" w:eastAsia="Times New Roman" w:hAnsi="Tahoma" w:cs="Tahoma"/>
          <w:color w:val="3A3A3A"/>
          <w:szCs w:val="19"/>
          <w:lang w:eastAsia="ru-RU"/>
        </w:rPr>
        <w:t xml:space="preserve">для </w:t>
      </w:r>
      <w:proofErr w:type="spellStart"/>
      <w:r w:rsidRPr="00DA28BF">
        <w:rPr>
          <w:rFonts w:ascii="Tahoma" w:eastAsia="Times New Roman" w:hAnsi="Tahoma" w:cs="Tahoma"/>
          <w:color w:val="3A3A3A"/>
          <w:szCs w:val="19"/>
          <w:lang w:eastAsia="ru-RU"/>
        </w:rPr>
        <w:t>застосування</w:t>
      </w:r>
      <w:proofErr w:type="spellEnd"/>
      <w:r w:rsidRPr="00DA28BF">
        <w:rPr>
          <w:rFonts w:ascii="Tahoma" w:eastAsia="Times New Roman" w:hAnsi="Tahoma" w:cs="Tahoma"/>
          <w:color w:val="3A3A3A"/>
          <w:szCs w:val="19"/>
          <w:lang w:eastAsia="ru-RU"/>
        </w:rPr>
        <w:t xml:space="preserve"> препарату</w:t>
      </w:r>
    </w:p>
    <w:p w:rsidR="00C4364C" w:rsidRPr="00DA28BF" w:rsidRDefault="00C4364C" w:rsidP="00C4364C">
      <w:pPr>
        <w:shd w:val="clear" w:color="auto" w:fill="FFFFFF"/>
        <w:spacing w:after="0" w:line="574" w:lineRule="atLeast"/>
        <w:jc w:val="center"/>
        <w:outlineLvl w:val="1"/>
        <w:rPr>
          <w:rFonts w:ascii="Tahoma" w:eastAsia="Times New Roman" w:hAnsi="Tahoma" w:cs="Tahoma"/>
          <w:b/>
          <w:bCs/>
          <w:caps/>
          <w:color w:val="3A3A3A"/>
          <w:sz w:val="52"/>
          <w:szCs w:val="44"/>
          <w:lang w:eastAsia="ru-RU"/>
        </w:rPr>
      </w:pPr>
      <w:r w:rsidRPr="00DA28BF">
        <w:rPr>
          <w:rFonts w:ascii="Tahoma" w:eastAsia="Times New Roman" w:hAnsi="Tahoma" w:cs="Tahoma"/>
          <w:b/>
          <w:bCs/>
          <w:caps/>
          <w:color w:val="3A3A3A"/>
          <w:sz w:val="52"/>
          <w:szCs w:val="44"/>
          <w:lang w:eastAsia="ru-RU"/>
        </w:rPr>
        <w:t>ЕНТЕРОНОРМ®</w:t>
      </w:r>
    </w:p>
    <w:p w:rsidR="0004576C" w:rsidRPr="009A2123" w:rsidRDefault="00C4364C" w:rsidP="0004576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28BF">
        <w:rPr>
          <w:rFonts w:ascii="Tahoma" w:eastAsia="Times New Roman" w:hAnsi="Tahoma" w:cs="Tahoma"/>
          <w:color w:val="3A3A3A"/>
          <w:szCs w:val="19"/>
          <w:shd w:val="clear" w:color="auto" w:fill="FFFFFF"/>
          <w:lang w:eastAsia="ru-RU"/>
        </w:rPr>
        <w:t>  </w:t>
      </w:r>
      <w:r w:rsidRPr="00DA28BF">
        <w:rPr>
          <w:rFonts w:ascii="Tahoma" w:eastAsia="Times New Roman" w:hAnsi="Tahoma" w:cs="Tahoma"/>
          <w:color w:val="3A3A3A"/>
          <w:szCs w:val="19"/>
          <w:lang w:eastAsia="ru-RU"/>
        </w:rPr>
        <w:br/>
      </w:r>
      <w:r w:rsidRPr="009A2123">
        <w:rPr>
          <w:rFonts w:ascii="Tahoma" w:eastAsia="Times New Roman" w:hAnsi="Tahoma" w:cs="Tahoma"/>
          <w:b/>
          <w:bCs/>
          <w:color w:val="3A3A3A"/>
          <w:sz w:val="20"/>
          <w:szCs w:val="20"/>
          <w:shd w:val="clear" w:color="auto" w:fill="FFFFFF"/>
          <w:lang w:eastAsia="ru-RU"/>
        </w:rPr>
        <w:t>ЕНТЕРОНОРМ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 -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полікомпонентний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синбіотик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являє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собою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раціональну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комбінацію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пробіотичного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комплексу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пребіотичних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компонентів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які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поєднанні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із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мікроелементом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селеном,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забезпечують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синергічну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дію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відновлення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підтримання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нормальної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покращення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функціонування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травної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системи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детоксикації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організму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пригнічення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росту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розвитку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патогенних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мікроорганізмів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профілактики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ендокринопатій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асоційованих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ними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рецидивів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хронічних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для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підвищення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резистентності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організму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проти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несприятливих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факторів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інфекцій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 </w:t>
      </w:r>
      <w:r w:rsidRPr="009A2123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9A2123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="0004576C" w:rsidRPr="009A2123">
        <w:rPr>
          <w:rFonts w:ascii="Tahoma" w:eastAsia="Times New Roman" w:hAnsi="Tahoma" w:cs="Tahoma"/>
          <w:b/>
          <w:bCs/>
          <w:color w:val="3A3A3A"/>
          <w:sz w:val="20"/>
          <w:szCs w:val="20"/>
          <w:shd w:val="clear" w:color="auto" w:fill="FFFFFF"/>
          <w:lang w:eastAsia="ru-RU"/>
        </w:rPr>
        <w:t>Склад:</w:t>
      </w:r>
    </w:p>
    <w:p w:rsidR="009A2123" w:rsidRPr="009A2123" w:rsidRDefault="00C4364C" w:rsidP="009A2123">
      <w:pPr>
        <w:pStyle w:val="a5"/>
        <w:rPr>
          <w:rFonts w:ascii="Tahoma" w:hAnsi="Tahoma" w:cs="Tahoma"/>
          <w:sz w:val="20"/>
          <w:szCs w:val="20"/>
          <w:shd w:val="clear" w:color="auto" w:fill="FFFFFF"/>
          <w:lang w:eastAsia="ru-RU"/>
        </w:rPr>
      </w:pPr>
      <w:proofErr w:type="spellStart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Вміст</w:t>
      </w:r>
      <w:proofErr w:type="spellEnd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 xml:space="preserve"> 1 </w:t>
      </w:r>
      <w:proofErr w:type="spellStart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капсули</w:t>
      </w:r>
      <w:proofErr w:type="spellEnd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Lactobacillus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acidophilus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5х10^(8)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Lactobacillus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rhamnosus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9х10^(8)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Lactobacillus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plantarum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2х10^(7)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Lactobacillus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casei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4х10^(8)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Bifidobacterium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bifidum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5х10^(8)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Bifidobacterium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longum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8х10^(8)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3х10^(7) КУО/г;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селен (0,05 мг); </w:t>
      </w:r>
    </w:p>
    <w:p w:rsidR="00997628" w:rsidRPr="009A2123" w:rsidRDefault="00C4364C" w:rsidP="009A2123">
      <w:pPr>
        <w:pStyle w:val="a5"/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</w:pP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олігофруктоза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(40 мг);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інулін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(450 мг).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="00A62539"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val="uk-UA" w:eastAsia="ru-RU"/>
        </w:rPr>
        <w:t>Рекомендації до споживання: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рекомендується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дієтичної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добавки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раціону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харчування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як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додаткове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джерело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життєздатних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пробіотичних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мікроорганізмів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з метою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нормалізації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дисбіозах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різного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генезу;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період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підвищеного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ризику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розвитку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кишкових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розладів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(в т. ч.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час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подорожей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),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синдромі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роздратованого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інших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функціональних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порушеннях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травної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системи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;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відновлення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природного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захисту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організму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після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перенесених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зменшення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частоти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побічних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антибіотико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-,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гормональній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променевій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хіміотерапії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в комплексному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лікуванні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метаболічних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розладів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надлишкової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ваги),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грибкових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r w:rsidR="00997628"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при </w:t>
      </w:r>
      <w:proofErr w:type="spellStart"/>
      <w:r w:rsidR="00997628"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алергічних</w:t>
      </w:r>
      <w:proofErr w:type="spellEnd"/>
      <w:r w:rsidR="00997628"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997628"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реакціях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вугревих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висипах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зниження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ризику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виникнення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ускладнень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 комплексному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лікуванні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новоутворень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Мікробіологічну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основу </w:t>
      </w:r>
      <w:proofErr w:type="spellStart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Ентеронорму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складає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пробіотичний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комплекс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найбільш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ефективних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штамів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живих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-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лактобактерій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видів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L.acidophilus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L.rhamnosus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L.plantarum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L.casei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B.bifidum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B.longum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також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біоентеросептик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Saccharomices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Біфідобактерії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складають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основу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(85-90%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дорослих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до 95%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дітей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життєдіяльності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утворюють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внаслідок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чого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знижується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рН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середовища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пригнічується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розвиток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патогенної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гнильної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газоутворюючої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Clostridium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difficile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Bacillus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cereus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Staphylococcus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aureus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Candida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albicans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Campylobacter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jejuni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Крім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того,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беруть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синтезі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всмоктуванні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вітамінів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групи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вітаміну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фолієвої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нікотинової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кислот,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синтезу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незамінних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амінокислот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кращому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засвоєнню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солей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кальцію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вітаміну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D,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знижують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концентрацію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потенційно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небезпечного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аміаку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й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амінів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крові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антианемічну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антирахітичну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антиалергічну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Володіють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природною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стійкістю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(особливо </w:t>
      </w:r>
      <w:proofErr w:type="spellStart"/>
      <w:proofErr w:type="gram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B.longum</w:t>
      </w:r>
      <w:proofErr w:type="spellEnd"/>
      <w:proofErr w:type="gram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антибіотиків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Важливою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функцією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є участь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формуванні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імунологічної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реактивності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організму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зміцнення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імунітету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Вони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стимулюють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лімфоїдний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апарат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синтез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імуноглобулінів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підвищують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лізоциму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зменшенню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проникності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судинно-тканинних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бар’єрів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токсичних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продуктів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проявляють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протипухлинну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Застосування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разом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молочними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продуктами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поліпшує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засвоюваність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особами,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не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переносять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лактозу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завдяки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виділенню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біфідобактеріями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Р-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галактозидази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яка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компенсує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дефіцит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цього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ферменту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організмі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людини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B.bifidum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антихелікобактерну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Лактобактерії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є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важливим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компонентом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постійної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кишкового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тракту,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входять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 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lastRenderedPageBreak/>
        <w:t xml:space="preserve">складу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порожнини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рота, є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важливою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складовою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сечостатевої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системи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процесах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травлення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стимулюють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перистальтику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попереджують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метеоризм,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виведенню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токсинів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синтезують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вітаміни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групи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В, К,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біотин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фолієву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аскорбінову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продукують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молочну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кислоту 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бактеріоцини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натуральні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антибіотики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інгібують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ріст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патогенних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умовно-патогенних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мікробів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імуномодулюючу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протипухлинну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синтезі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незамінних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амінокислот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регулюють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метаболізм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жовчних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кислот, холестерину,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стимулюють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розмноження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кислотопродукцію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L.acidophilus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антибіотичні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антиалергічні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властивості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високоефективні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запальних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захворюваннях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клітинний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імунітет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синтез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імуноглобулінів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проявляють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аналгезуючий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абдомінальному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больовому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синдромі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L.plantarum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здатність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розщеплювати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амінокислоту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аргінін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утворенням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окису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азоту -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нейромедіатора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необхідного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для нормального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функціонування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нервової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системи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когнітивних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також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протикандидозну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протипаразитарну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L.casei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ефективно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пригнічують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ріст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гноєрідних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стафілококів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клостридій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алергічних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реакціях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високу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протипухлинну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Особливістю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L.rhamnosus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є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пацієнтів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різних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вікових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груп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Неспецифічні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людини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біоентеросептики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або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самоелімінуючі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антагоністи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прямий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антагонізм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антимікробну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пов'язаний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здатністю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конкурентно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витісняти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патогенні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умовно-патогенні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мікроорганізми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гриби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порушують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мікробіоценоз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такі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як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Clostridium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difficile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Clostridium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pneumoniae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Staphilococcus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aureus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Pseudomonas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aeruginosa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Candida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krusei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Candida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pseudotropical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Salmonella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typhi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Escherichia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coli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Shigella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dysenteriae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Proteus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Enthamoeba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hystolitica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Lambliae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Enterovirus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Rotavirus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антитоксичну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антисекреторну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підвищують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неспецифічний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захист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внаслідок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збільшення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продукування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імуноглобулінів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секреторних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компонентів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посилюють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трофічний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щодо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слизової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оболонки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внаслідок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вивільнення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сперміну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спермідину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біогенних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поліамінів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рівень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зменшується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організмі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віком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особливо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клімаксі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речовини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процесах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метаболізму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аутофагії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розщепленню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дефектних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білків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інших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пошкоджених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компонентів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клітин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допомагаючи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оновлюватися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попереджують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старіння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розвиток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запальних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знижують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ризик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серцево-судинних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перешкоджають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порушенню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функції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нейронів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головного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мозку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покращенню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пам’яті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сперматогенезу.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Генетично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зумовлена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стійкість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антибіотиків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дозволяє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застосовувати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захисту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нормального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мікробіоценозу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прийомі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одночасно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іншими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антибактеріальними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препаратами.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проходять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через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шлунково-кишковий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тракт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незмінному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вигляді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без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його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колонізації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виводяться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організму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через 2-4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після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прийому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Пребіотичні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компоненти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інулін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олігофруктоза</w:t>
      </w:r>
      <w:proofErr w:type="spellEnd"/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)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виступають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субстратом,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стимулює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ріст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пробіотичних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мікроорганізмів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забезпечуючи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оптимальне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середовище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кращу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конкурентоздатність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Олігофруктоза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більш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активна в проксимальному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відділі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товстої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кишки, де селективно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ферментується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біфідобактеріями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Інулін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рослинний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полісахарид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природного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полімеру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D-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фруктози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транзитом проходить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дистальний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відділ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де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гідролізується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моносахаридів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піддаються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ферментації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власними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біфідобактеріями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утворенням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коротколанцюгових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жирних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кислот (в основному,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оцтової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пропіонової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масляної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солі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трофічний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ефект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взаємодіють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 рецепторами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клітин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імуногенезу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беруть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синтезі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протизапальних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цитокінів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сприяють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зсуву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рН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стимулюють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перистальтику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активізують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всмоктування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кальцію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рахунок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модифікації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його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розчинності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підвищенню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біодоступності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Інулін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збагачений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олігофруктозою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підвищує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засвоєння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кальцію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перешкоджає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втраті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кісткової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маси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є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профілактикою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остеопорозу.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Пропіонат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впливає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печінковий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ліпогенез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глюконеогенез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ацетат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виступає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субстрату для синтезу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корисного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холестерину, бутират позитивно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впливає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на стан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слизової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кишківника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покращує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толерантність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глюкози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регулює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рівень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інтестинального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серотоніну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який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є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сигнальним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нейромедіатором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регуляції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маси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тіла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покращує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настрій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самопочуття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Інулін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олігофруктоза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опосередковано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індукують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збільшення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абсорбуючої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поверхні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кишкового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епітелію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регулюють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секрецію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ферментів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; добре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засвоюються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містять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мало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калорій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добре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відомі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як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цукрозамінники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дієтотерапії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. для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схуднення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при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інсулінорезистентності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).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Селен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необхідний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для оптимального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функціонування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ендокринної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(особливо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виражений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вплив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секрецію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метаболізм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тиреоїдних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гормонів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також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фертильність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)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імунної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систем,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профілактики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новоутворень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серцево-судинних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захворювань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участь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модуляції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протизапальної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відповіді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має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виражені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антиоксидантні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властивості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посилює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синтетичні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lastRenderedPageBreak/>
        <w:t>метаболічні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(синтез АТФ)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процеси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м’язах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Складові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Ентеронорму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знаходяться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кислотостійкій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капсулі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попереджує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зниження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життєздатності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пробіотичних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мікроорганізмів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під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впливом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соляної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кислоти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шлункового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соку,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жовчних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кислот,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ферментів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="00A62539"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val="uk-UA" w:eastAsia="ru-RU"/>
        </w:rPr>
        <w:t>Спосіб вживання</w:t>
      </w:r>
      <w:r w:rsidRPr="009A2123">
        <w:rPr>
          <w:rFonts w:ascii="Tahoma" w:hAnsi="Tahoma" w:cs="Tahoma"/>
          <w:b/>
          <w:bCs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 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Капсули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перорально,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ковтаючи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цілими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і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запиваючи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достатньою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кількістю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рідини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(1 склянка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питної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води).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Дорослим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дітям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віком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від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r w:rsidR="00997628" w:rsidRPr="009A2123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6</w:t>
      </w:r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років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приймати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по 1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капсулі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2-3 рази на день, за 30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хвилин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вживання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їжі</w:t>
      </w:r>
      <w:proofErr w:type="spellEnd"/>
      <w:r w:rsidRPr="009A2123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.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</w:p>
    <w:p w:rsidR="00DA28BF" w:rsidRPr="009A2123" w:rsidRDefault="00997628" w:rsidP="00DA28BF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Термін вживання</w:t>
      </w:r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: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  <w:t xml:space="preserve">- </w:t>
      </w:r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з метою нормалізації мікрофлори </w:t>
      </w:r>
      <w:proofErr w:type="spellStart"/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кишківника</w:t>
      </w:r>
      <w:proofErr w:type="spellEnd"/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приймати протягом 10-15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діб;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- з метою профілактики </w:t>
      </w:r>
      <w:proofErr w:type="spellStart"/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ди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с</w:t>
      </w:r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біозу</w:t>
      </w:r>
      <w:proofErr w:type="spellEnd"/>
      <w:r w:rsidR="00DA28BF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приймати з першого дня застосування антибіотиків від 15 днів до 1,5 місяців;</w:t>
      </w:r>
    </w:p>
    <w:p w:rsidR="003502A4" w:rsidRPr="009A2123" w:rsidRDefault="00DA28BF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- в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період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підвищенного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ризику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кишкових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розладів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(в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 під час подорожей): за 5 днів до початку подорожі та протягом усієї подорожі, до її закінчення по 1 капсулі на день.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В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подальшому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термін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споживання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можливість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повторного курсу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узгоджувати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лікарем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індивідуально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Курс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прийому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залежить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характеру та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перебігу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захворювання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Для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закріплення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отриманого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клінічного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ефекту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курс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можна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повторити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після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10-14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денної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перерви. При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відсутності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повної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нормалізації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мікрофлори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призначають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підтримуючі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дози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препарату (1 капсулу в день)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протягом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1-1,5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місяця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При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захворюваннях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що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перебігають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із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рецидивами,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доцільні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повторні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курси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прийому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Перед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застосуванням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(в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т.ч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прийому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дітьми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) рекомендовано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порадитись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лікарем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proofErr w:type="spellStart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Застереження</w:t>
      </w:r>
      <w:proofErr w:type="spellEnd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 xml:space="preserve"> при </w:t>
      </w:r>
      <w:proofErr w:type="spellStart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застосуванні</w:t>
      </w:r>
      <w:proofErr w:type="spellEnd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індивідуальна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чутливість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компонентів</w:t>
      </w:r>
      <w:proofErr w:type="spellEnd"/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продукту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,</w:t>
      </w:r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жінкам в період</w:t>
      </w:r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вагітності</w:t>
      </w:r>
      <w:proofErr w:type="spellEnd"/>
      <w:r w:rsidR="00A62539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та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лактації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У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зв'язку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наявністю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ризику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системної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колонізації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Saccharomyces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boulardii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пацієнтів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ослабленою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імунною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системою (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наприклад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ВІЛ-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інфекції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при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трансплантації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органів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лейкемії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злоякісних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пухлинах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променевій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терапії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хіміотерапії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при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тривалому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прийомі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високих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доз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кортикостероїдів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), а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також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пацієнтам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наявністю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центрального венозного катетера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слід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застосовувати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після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консультації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лікарем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Препарат не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впливає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здатність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керувати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автомобілем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або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іншими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механічними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засобами</w:t>
      </w:r>
      <w:proofErr w:type="spellEnd"/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br/>
      </w:r>
      <w:proofErr w:type="spellStart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Умови</w:t>
      </w:r>
      <w:proofErr w:type="spellEnd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зберігання</w:t>
      </w:r>
      <w:proofErr w:type="spellEnd"/>
      <w:r w:rsidR="00C4364C"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Зберігати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оригінальній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упаковці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недоступних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дітей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місцях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в сухому,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захищеному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сонячних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променів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приміщенні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температури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2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eastAsia="ru-RU"/>
        </w:rPr>
        <w:t>о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 до 25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eastAsia="ru-RU"/>
        </w:rPr>
        <w:t>о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С. </w:t>
      </w:r>
      <w:r w:rsidR="00C4364C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</w:p>
    <w:p w:rsidR="003502A4" w:rsidRPr="009A2123" w:rsidRDefault="003502A4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proofErr w:type="spellStart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Термін</w:t>
      </w:r>
      <w:proofErr w:type="spellEnd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придатності</w:t>
      </w:r>
      <w:proofErr w:type="spellEnd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2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роки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від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дати</w:t>
      </w:r>
      <w:proofErr w:type="spellEnd"/>
      <w:r w:rsidR="004F44DC" w:rsidRPr="004F44DC">
        <w:t xml:space="preserve"> </w:t>
      </w:r>
      <w:proofErr w:type="spellStart"/>
      <w:r w:rsidR="004F44DC" w:rsidRPr="004F44DC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виробництва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. </w:t>
      </w:r>
    </w:p>
    <w:p w:rsidR="003502A4" w:rsidRPr="009A2123" w:rsidRDefault="003502A4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 xml:space="preserve">Дата </w:t>
      </w:r>
      <w:proofErr w:type="spellStart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виробництва</w:t>
      </w:r>
      <w:proofErr w:type="spellEnd"/>
      <w:r w:rsidR="004F44DC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 xml:space="preserve"> та кінцевий термін придатності</w:t>
      </w:r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вказано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упаковці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</w:p>
    <w:p w:rsidR="009534A6" w:rsidRPr="009A2123" w:rsidRDefault="00C4364C" w:rsidP="003502A4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 xml:space="preserve">Форма </w:t>
      </w:r>
      <w:proofErr w:type="spellStart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випуску</w:t>
      </w:r>
      <w:proofErr w:type="spellEnd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Тверді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желатинові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кишковорозчинні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капсули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, 10 капсул по 500 мг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блістері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по 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3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блістери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картонній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коробці</w:t>
      </w:r>
      <w:proofErr w:type="spellEnd"/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</w:t>
      </w:r>
      <w:r w:rsidR="003502A4"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Не є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лікарським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засобом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. Без ГМО.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</w:r>
      <w:proofErr w:type="spellStart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Виробник</w:t>
      </w:r>
      <w:proofErr w:type="spellEnd"/>
      <w:r w:rsidRPr="009A2123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eastAsia="ru-RU"/>
        </w:rPr>
        <w:t>: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ТОВ “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Елемент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здоров’я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”,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Україна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, 03062, м.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Київ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вул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Естонська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, буд.120.</w:t>
      </w:r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br/>
        <w:t xml:space="preserve">Дозволено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Міністерством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охорони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здоров’я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України</w:t>
      </w:r>
      <w:proofErr w:type="spellEnd"/>
      <w:r w:rsidRPr="009A2123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. ТУ У 10.8-38405950-001:2016</w:t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r w:rsidRPr="009A2123">
        <w:rPr>
          <w:rFonts w:ascii="Tahoma" w:hAnsi="Tahoma" w:cs="Tahoma"/>
          <w:sz w:val="20"/>
          <w:szCs w:val="20"/>
          <w:lang w:eastAsia="ru-RU"/>
        </w:rPr>
        <w:br/>
      </w:r>
      <w:bookmarkStart w:id="0" w:name="_GoBack"/>
      <w:bookmarkEnd w:id="0"/>
    </w:p>
    <w:sectPr w:rsidR="009534A6" w:rsidRPr="009A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14495"/>
    <w:multiLevelType w:val="hybridMultilevel"/>
    <w:tmpl w:val="21865C8C"/>
    <w:lvl w:ilvl="0" w:tplc="6BCE3E0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C"/>
    <w:rsid w:val="0004576C"/>
    <w:rsid w:val="003502A4"/>
    <w:rsid w:val="003E6596"/>
    <w:rsid w:val="004F44DC"/>
    <w:rsid w:val="00625FF5"/>
    <w:rsid w:val="00997628"/>
    <w:rsid w:val="009A2123"/>
    <w:rsid w:val="00A62539"/>
    <w:rsid w:val="00C4364C"/>
    <w:rsid w:val="00D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7928"/>
  <w15:chartTrackingRefBased/>
  <w15:docId w15:val="{26FBA99E-ADE8-47C4-9C6E-5C593A4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364C"/>
    <w:rPr>
      <w:b/>
      <w:bCs/>
    </w:rPr>
  </w:style>
  <w:style w:type="paragraph" w:styleId="a4">
    <w:name w:val="List Paragraph"/>
    <w:basedOn w:val="a"/>
    <w:uiPriority w:val="34"/>
    <w:qFormat/>
    <w:rsid w:val="00DA28BF"/>
    <w:pPr>
      <w:ind w:left="720"/>
      <w:contextualSpacing/>
    </w:pPr>
  </w:style>
  <w:style w:type="paragraph" w:styleId="a5">
    <w:name w:val="No Spacing"/>
    <w:uiPriority w:val="1"/>
    <w:qFormat/>
    <w:rsid w:val="00DA2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7</cp:revision>
  <dcterms:created xsi:type="dcterms:W3CDTF">2019-02-25T15:19:00Z</dcterms:created>
  <dcterms:modified xsi:type="dcterms:W3CDTF">2019-02-28T11:06:00Z</dcterms:modified>
</cp:coreProperties>
</file>