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E" w:rsidRPr="00532CFE" w:rsidRDefault="00532CFE" w:rsidP="00532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ІНСТРУКЦІЯ</w:t>
      </w:r>
    </w:p>
    <w:p w:rsidR="00532CFE" w:rsidRPr="00532CFE" w:rsidRDefault="00532CFE" w:rsidP="00532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t xml:space="preserve">для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застосування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t xml:space="preserve"> препарату</w:t>
      </w:r>
    </w:p>
    <w:p w:rsidR="00532CFE" w:rsidRPr="00532CFE" w:rsidRDefault="00532CFE" w:rsidP="00532CFE">
      <w:pPr>
        <w:shd w:val="clear" w:color="auto" w:fill="FFFFFF"/>
        <w:spacing w:after="0" w:line="574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</w:pPr>
      <w:r w:rsidRPr="00532CFE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ЕНТЕРОКЛІН®</w:t>
      </w:r>
    </w:p>
    <w:p w:rsidR="0044266A" w:rsidRDefault="00532CFE" w:rsidP="00532CFE">
      <w:pP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="004611F3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Склад 1 пакету-</w:t>
      </w:r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саше: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 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високодисперсний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діоксид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кремнію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(SiO2) – (2,7 г),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пектин – 0,6 г,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хітозан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– 0,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4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г,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лактулоза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– 0,3 г. </w:t>
      </w:r>
    </w:p>
    <w:p w:rsidR="001D154A" w:rsidRDefault="0044266A" w:rsidP="00532CFE">
      <w:pPr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</w:pPr>
      <w:r w:rsidRPr="0013133B">
        <w:rPr>
          <w:rFonts w:ascii="Helvetica" w:hAnsi="Helvetica"/>
          <w:color w:val="3A3A3A"/>
          <w:sz w:val="19"/>
          <w:szCs w:val="19"/>
          <w:shd w:val="clear" w:color="auto" w:fill="FFFFFF"/>
          <w:lang w:val="uk-UA"/>
        </w:rPr>
        <w:t>Допоміжні речовини: відсутні.</w:t>
      </w:r>
      <w:r w:rsidR="00532CFE"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="00532CFE"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="00532CFE"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Рекомендації</w:t>
      </w:r>
      <w:proofErr w:type="spellEnd"/>
      <w:r w:rsidR="00532CFE"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щодо</w:t>
      </w:r>
      <w:proofErr w:type="spellEnd"/>
      <w:r w:rsidR="00532CFE"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="00532CFE"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: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може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бути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використан</w:t>
      </w:r>
      <w:r w:rsidR="00D172D6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val="uk-UA" w:eastAsia="ru-RU"/>
        </w:rPr>
        <w:t>им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якості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дієтичної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добавки до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раціону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харчування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за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рекомендацією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лікаря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як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додаткове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джерело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біологічно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активних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речовин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які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очищенню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регуляції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покращенню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функції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шлунково-кишкового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тракту,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нормалізації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укріпленню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імунітету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; </w:t>
      </w:r>
      <w:r w:rsidR="00C02164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val="uk-UA" w:eastAsia="ru-RU"/>
        </w:rPr>
        <w:t xml:space="preserve">з метою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посилення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виведення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ендо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- та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екзотоксинів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осіб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порушеною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функцією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нирок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. За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рахунок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вираженої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функції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виведення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токсинів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важких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металів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жирів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профілактиці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ожиріння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серцево-судинних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захворювань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алергічних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реакцій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метаболічних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порушень</w:t>
      </w:r>
      <w:proofErr w:type="spellEnd"/>
      <w:r w:rsidR="00532CFE" w:rsidRPr="00532CFE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eastAsia="ru-RU"/>
        </w:rPr>
        <w:t>.</w:t>
      </w:r>
    </w:p>
    <w:p w:rsidR="00532CFE" w:rsidRPr="0044266A" w:rsidRDefault="00532CFE" w:rsidP="00532CFE">
      <w:pP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Висока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препарату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обумовлена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унікальним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поєднанням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ретельно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підібраних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проявляють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синергізм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підсилюючи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один одного. 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>
        <w:rPr>
          <w:color w:val="3A3A3A"/>
          <w:sz w:val="19"/>
          <w:szCs w:val="19"/>
          <w:shd w:val="clear" w:color="auto" w:fill="FFFFFF"/>
          <w:lang w:val="uk-UA"/>
        </w:rPr>
        <w:t>В</w:t>
      </w:r>
      <w:proofErr w:type="spellStart"/>
      <w:r>
        <w:rPr>
          <w:rFonts w:ascii="Helvetica" w:hAnsi="Helvetica"/>
          <w:color w:val="3A3A3A"/>
          <w:sz w:val="19"/>
          <w:szCs w:val="19"/>
          <w:shd w:val="clear" w:color="auto" w:fill="FFFFFF"/>
        </w:rPr>
        <w:t>ластивості</w:t>
      </w:r>
      <w:proofErr w:type="spellEnd"/>
      <w:r>
        <w:rPr>
          <w:rFonts w:ascii="Helvetica" w:hAnsi="Helvetica"/>
          <w:color w:val="3A3A3A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A3A3A"/>
          <w:sz w:val="19"/>
          <w:szCs w:val="19"/>
          <w:shd w:val="clear" w:color="auto" w:fill="FFFFFF"/>
        </w:rPr>
        <w:t>компонентів</w:t>
      </w:r>
      <w:proofErr w:type="spellEnd"/>
      <w:r>
        <w:rPr>
          <w:rFonts w:ascii="Helvetica" w:hAnsi="Helvetica"/>
          <w:color w:val="3A3A3A"/>
          <w:sz w:val="19"/>
          <w:szCs w:val="19"/>
          <w:shd w:val="clear" w:color="auto" w:fill="FFFFFF"/>
        </w:rPr>
        <w:t>: </w:t>
      </w:r>
    </w:p>
    <w:p w:rsidR="00532CFE" w:rsidRDefault="00532CFE" w:rsidP="00532CFE">
      <w:pPr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</w:pPr>
      <w:proofErr w:type="spellStart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Високодисперсний</w:t>
      </w:r>
      <w:proofErr w:type="spellEnd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діоксид</w:t>
      </w:r>
      <w:proofErr w:type="spellEnd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кремнію</w:t>
      </w:r>
      <w:proofErr w:type="spellEnd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(SiO2)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завдяки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своїм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фізико-хімічним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властивостям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створює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електрично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заряджені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колоїдні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які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рахунок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високої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дисперсності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виражену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сорбційну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Діоксид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кремнію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активно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зв'язує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виводить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ендогенні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екзогенні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агресивні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речовини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різного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генезу -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інфекційні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токсини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медикаменти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отрути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солі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важких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металів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радіонукліди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продукти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розпаду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алкоголю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токсичні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метаболіти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;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допомагає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впоратися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патогенними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мікроорганізмами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алергенами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Діоксид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кремнію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розщеплюється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травному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тракті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всмоктується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залишаючи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природним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шляхом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незмінному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вигляді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; при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його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використанні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зберігаються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корисні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складові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флори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шлунково-кишкового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тракту,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порушується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травлення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</w:p>
    <w:p w:rsidR="00532CFE" w:rsidRDefault="00532CFE" w:rsidP="00532CFE">
      <w:pPr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</w:pPr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Пектин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нейтралізувати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токсичні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речовини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-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пестициди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іони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важких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металів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радіоактивні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елементи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порушуючи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цьому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баланс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завдяки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чому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рекомендується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раціону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людей,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контактують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небезпечними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речовинами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або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проживають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екологічно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несприятливих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регіонах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Користь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пектину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полягає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його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здатності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нормалізувати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мікрофлору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проявляти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помірні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протизапальну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обволікаючу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слизові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шлунку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формувати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оптимальні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умови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розвитку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популяції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корисних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бактерій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</w:p>
    <w:p w:rsidR="00532CFE" w:rsidRDefault="00532CFE" w:rsidP="00532CFE">
      <w:pPr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</w:pPr>
      <w:proofErr w:type="spellStart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Хітозан</w:t>
      </w:r>
      <w:proofErr w:type="spellEnd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-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це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амінополісахарид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із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хітинових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оболонок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ракоподібних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морських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тварин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; є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джерелом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натуральних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харчових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волокон,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потрапляння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людини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практично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засвоюючись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за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рахунок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сорбційних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властивостей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виводить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шкідливі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речовини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алергени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жири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підтриманню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нормальної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травного тракту,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зниженню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кислотності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шлункового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соку,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відновленню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слизової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шлунку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підсиленню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перистальтики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усуненню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дисбактеріозу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Хітозан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також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імунокорегуючу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онкопротекторну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Крім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того,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покращує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обмін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речовин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підшлунковій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залозі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печінці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оптимізує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функції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самим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попереджуючи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порушення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моторики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жовчовивідних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шляхів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Хітозан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антибактеріальну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антимікотичну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кращому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засвоєнню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кальцію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вітамінів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укріпленню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зубів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кісток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профілактиці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остеопорозу.</w:t>
      </w:r>
    </w:p>
    <w:p w:rsidR="00D63934" w:rsidRDefault="00532CFE" w:rsidP="00532CFE">
      <w:pP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</w:pPr>
      <w:proofErr w:type="spellStart"/>
      <w:r w:rsidRPr="00532CFE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Лактулоза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транзитом,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незмінному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вигляді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практично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всмоктуючись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проходить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дистальний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відділ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де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виступає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харчовим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субстратом (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тобто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є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пребіотиком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) для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сахаролітичних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бактерій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біфідо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-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лактобактерій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),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розвитку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участю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піддається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ферментації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утворенням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коротколанцюгових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жирних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кислот (в основному,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оцтової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пропіонової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масляної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).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Ці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кислоти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солі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трофічний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ефект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приймають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участь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стимуляції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неспецифічного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імунітету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сприяють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зсуву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рН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кислий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бік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гальмуючи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самим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розвиток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хвороботворної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мікрофлори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зменшуючи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інтоксикацію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продуктами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життєдіяльності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Підвищуючи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осмотичний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тиск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просвіті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товстої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кишки,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лактулоза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стимулює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перистальтику,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врегульовує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моторику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завдяки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чому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зменшується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час контакту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інфекційних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агентів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метаболітів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слизовою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полегшується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елімінація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  <w:r w:rsid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</w:p>
    <w:p w:rsidR="009A5A0B" w:rsidRDefault="00532CFE" w:rsidP="00532CFE">
      <w:pP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</w:pPr>
      <w:r w:rsidRPr="001812D0">
        <w:rPr>
          <w:rFonts w:ascii="Arial" w:eastAsia="Times New Roman" w:hAnsi="Arial" w:cs="Arial"/>
          <w:color w:val="3A3A3A"/>
          <w:sz w:val="19"/>
          <w:szCs w:val="19"/>
          <w:lang w:val="uk-UA" w:eastAsia="ru-RU"/>
        </w:rPr>
        <w:lastRenderedPageBreak/>
        <w:br/>
      </w:r>
      <w:r w:rsidRPr="001812D0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val="uk-UA" w:eastAsia="ru-RU"/>
        </w:rPr>
        <w:t>Спосіб вживання: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 </w:t>
      </w:r>
      <w:r w:rsidRPr="001812D0">
        <w:rPr>
          <w:rFonts w:ascii="Arial" w:eastAsia="Times New Roman" w:hAnsi="Arial" w:cs="Arial"/>
          <w:color w:val="3A3A3A"/>
          <w:sz w:val="19"/>
          <w:szCs w:val="19"/>
          <w:lang w:val="uk-UA" w:eastAsia="ru-RU"/>
        </w:rPr>
        <w:br/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Застосовувати </w:t>
      </w:r>
      <w:proofErr w:type="spellStart"/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Ентероклін</w:t>
      </w:r>
      <w:proofErr w:type="spellEnd"/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9A5A0B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за 1 годину до вживання їжі або прийому пероральних лікарських засобів (через їх можливу абсорбцію і відп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овідно − зниження ефективності);</w:t>
      </w:r>
    </w:p>
    <w:p w:rsidR="00ED423B" w:rsidRDefault="00ED423B" w:rsidP="009A5A0B">
      <w:pP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Д</w:t>
      </w:r>
      <w:r w:rsidR="00532CFE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орослим та дітям віком від 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12</w:t>
      </w:r>
      <w:r w:rsidR="00532CFE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років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532CFE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– 1 пакет-саше (4 г) ретельно розмішати у 100-150 мл </w:t>
      </w:r>
      <w:r w:rsidRPr="00ED423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пит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ної води кімнатної температури </w:t>
      </w:r>
      <w:r w:rsidR="00532CFE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до утворення однорідної суспензії. 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Максимальна рекомендована д</w:t>
      </w:r>
      <w:proofErr w:type="spellStart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обова</w:t>
      </w:r>
      <w:proofErr w:type="spellEnd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доза для </w:t>
      </w:r>
      <w:proofErr w:type="spellStart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дорослих</w:t>
      </w:r>
      <w:proofErr w:type="spellEnd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дітей</w:t>
      </w:r>
      <w:proofErr w:type="spellEnd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1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2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років</w:t>
      </w:r>
      <w:proofErr w:type="spellEnd"/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становить 16 г;</w:t>
      </w:r>
    </w:p>
    <w:p w:rsidR="009A5A0B" w:rsidRDefault="00ED423B" w:rsidP="00532CFE">
      <w:pP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Дітям з 3 до 12 років вміст </w:t>
      </w:r>
      <w:r w:rsidRPr="00ED423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1 </w:t>
      </w:r>
      <w:r w:rsidR="009A5A0B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пакет-саше</w:t>
      </w:r>
      <w:r w:rsidRPr="00ED423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(4 г) </w:t>
      </w:r>
      <w:r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ретельно розмішати у 100-150 мл </w:t>
      </w:r>
      <w:r w:rsidRPr="00ED423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пит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ної води кімнатної температури </w:t>
      </w:r>
      <w:r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до 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утворення однорідної суспензії, вживати 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приготовану 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суміш 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в </w:t>
      </w:r>
      <w:r w:rsidR="0044266A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2-3</w:t>
      </w:r>
      <w:r w:rsidRPr="00ED423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прийоми;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Максимальна рекомендована д</w:t>
      </w:r>
      <w:proofErr w:type="spellStart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обова</w:t>
      </w:r>
      <w:proofErr w:type="spellEnd"/>
      <w:r w:rsidR="009A5A0B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доза 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для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дітей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3 до 12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років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становить </w:t>
      </w:r>
      <w:r w:rsidR="0044266A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8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г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(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2</w:t>
      </w:r>
      <w:r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саше на добу)</w:t>
      </w:r>
      <w:r w:rsidR="009A5A0B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;</w:t>
      </w:r>
    </w:p>
    <w:p w:rsidR="00532CFE" w:rsidRDefault="00532CFE" w:rsidP="00532CFE">
      <w:pPr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</w:pP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Добову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дозу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розподіляти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на 2-4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прийоми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Максимальна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разова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доза не повинна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перевищувати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половини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добової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дози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Рекомендований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</w:p>
    <w:p w:rsidR="001D154A" w:rsidRPr="001D154A" w:rsidRDefault="001D154A" w:rsidP="00532CFE">
      <w:pPr>
        <w:rPr>
          <w:rFonts w:ascii="Arial" w:eastAsia="Times New Roman" w:hAnsi="Arial" w:cs="Arial"/>
          <w:color w:val="3A3A3A"/>
          <w:sz w:val="19"/>
          <w:szCs w:val="19"/>
          <w:lang w:val="uk-UA" w:eastAsia="ru-RU"/>
        </w:rPr>
      </w:pPr>
      <w:r w:rsidRPr="001D154A"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val="uk-UA" w:eastAsia="ru-RU"/>
        </w:rPr>
        <w:t>Курс застосування становить 3-5 днів, в тяжких випадках термін застосування може бути подовжений до 7-10 днів за узгодженням з лікарем</w:t>
      </w:r>
      <w:r>
        <w:rPr>
          <w:rFonts w:ascii="Arial" w:eastAsia="Times New Roman" w:hAnsi="Arial" w:cs="Arial"/>
          <w:bCs/>
          <w:color w:val="3A3A3A"/>
          <w:sz w:val="19"/>
          <w:szCs w:val="19"/>
          <w:shd w:val="clear" w:color="auto" w:fill="FFFFFF"/>
          <w:lang w:val="uk-UA" w:eastAsia="ru-RU"/>
        </w:rPr>
        <w:t>.</w:t>
      </w:r>
    </w:p>
    <w:p w:rsidR="000A2724" w:rsidRPr="00FF4F27" w:rsidRDefault="00532CFE" w:rsidP="00FF4F27">
      <w:pPr>
        <w:pStyle w:val="a4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при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гострих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кишкових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розладах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доцільно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розпочинати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максимальної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разової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дози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– 8 г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9A5A0B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для дорос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лих та дітей віком від 12 років</w:t>
      </w:r>
      <w:r w:rsidR="009A5A0B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, або 4 г 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дітям </w:t>
      </w:r>
      <w:r w:rsidR="00D6393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у віці 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з 3 до 12 років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. </w:t>
      </w:r>
    </w:p>
    <w:p w:rsidR="00532CFE" w:rsidRPr="00FF4F27" w:rsidRDefault="000A2724" w:rsidP="00FF4F27">
      <w:pPr>
        <w:pStyle w:val="a4"/>
        <w:ind w:left="284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Дорослим та дітям віком від 12 років в подальшому </w:t>
      </w:r>
      <w:proofErr w:type="spellStart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приймати</w:t>
      </w:r>
      <w:proofErr w:type="spellEnd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по 4 г (1 пакет-саше) </w:t>
      </w:r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2-3 рази на </w:t>
      </w:r>
      <w:proofErr w:type="spellStart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добу</w:t>
      </w:r>
      <w:proofErr w:type="spellEnd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;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дітям з 3 до 12 років суміш приготовану з 1 пакет-саше (4 г) приймати у 1-2 прийоми</w:t>
      </w:r>
      <w:r w:rsidR="001D154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,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1D154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D172D6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добова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доза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Ентерокліну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дітям від 3 до 12 років становить </w:t>
      </w:r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4-8 г (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1-2 </w:t>
      </w:r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пакети-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саше</w:t>
      </w:r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, доза встановлюється лікарем індивідуально та </w:t>
      </w:r>
      <w:proofErr w:type="spellStart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залежить</w:t>
      </w:r>
      <w:proofErr w:type="spellEnd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тяжкості</w:t>
      </w:r>
      <w:proofErr w:type="spellEnd"/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44266A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гострих кишкових розладів)</w:t>
      </w:r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; курс 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застосування </w:t>
      </w:r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становить 3-5 </w:t>
      </w:r>
      <w:proofErr w:type="spellStart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;</w:t>
      </w:r>
    </w:p>
    <w:p w:rsidR="00532CFE" w:rsidRPr="0048560C" w:rsidRDefault="00532CFE" w:rsidP="0048560C">
      <w:pPr>
        <w:pStyle w:val="a4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для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посилення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виведення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ендо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- та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екзотоксинів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осіб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порушеною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функцією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нирок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метою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зменшення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навантаження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нирки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приймати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D6393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дорослим </w:t>
      </w:r>
      <w:r w:rsidR="004611F3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 1 саше (4 г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) за 1,5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години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або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через 2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години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прийому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їжі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або </w:t>
      </w:r>
      <w:r w:rsidR="00FF4F27" w:rsidRPr="001812D0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пероральних лікарських засобів 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3</w:t>
      </w:r>
      <w:r w:rsidR="00D6393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-4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рази на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добу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протягом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20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="0048560C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;</w:t>
      </w:r>
    </w:p>
    <w:p w:rsidR="00A657E7" w:rsidRPr="00FF4F27" w:rsidRDefault="00532CFE" w:rsidP="00FF4F27">
      <w:pPr>
        <w:pStyle w:val="a4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проведення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курсу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антигельмінтної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терапіі</w:t>
      </w:r>
      <w:proofErr w:type="spellEnd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дорослим та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дітям віком від 12 років 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вживати </w:t>
      </w:r>
      <w:r w:rsidR="00D6393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по 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8-12 г на </w:t>
      </w:r>
      <w:proofErr w:type="spellStart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добу</w:t>
      </w:r>
      <w:proofErr w:type="spellEnd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впродовж</w:t>
      </w:r>
      <w:proofErr w:type="spellEnd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трьох</w:t>
      </w:r>
      <w:proofErr w:type="spellEnd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, дітям з 3 до 12 років 4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-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6</w:t>
      </w:r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г на </w:t>
      </w:r>
      <w:proofErr w:type="spellStart"/>
      <w:r w:rsidR="00896967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добу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впродовж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трьох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;</w:t>
      </w:r>
    </w:p>
    <w:p w:rsidR="0048560C" w:rsidRPr="0048560C" w:rsidRDefault="00A657E7" w:rsidP="0048560C">
      <w:pPr>
        <w:pStyle w:val="a4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з метою </w:t>
      </w:r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зменшення </w:t>
      </w:r>
      <w:proofErr w:type="spellStart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вираженності</w:t>
      </w:r>
      <w:proofErr w:type="spellEnd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 проявів </w:t>
      </w:r>
      <w:proofErr w:type="spellStart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алергодерматозу</w:t>
      </w:r>
      <w:proofErr w:type="spellEnd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 (алергічні дерматити, </w:t>
      </w:r>
      <w:proofErr w:type="spellStart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токсикодермії</w:t>
      </w:r>
      <w:proofErr w:type="spellEnd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, екземи, псоріаз, </w:t>
      </w:r>
      <w:proofErr w:type="spellStart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атопічні</w:t>
      </w:r>
      <w:proofErr w:type="spellEnd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 дерматити, кропив’янк</w:t>
      </w:r>
      <w:r w:rsidR="00025AF2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а</w:t>
      </w:r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), харчових та лікарських алергій, </w:t>
      </w:r>
      <w:proofErr w:type="spellStart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акне</w:t>
      </w:r>
      <w:proofErr w:type="spellEnd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, </w:t>
      </w:r>
      <w:proofErr w:type="spellStart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>розацеа</w:t>
      </w:r>
      <w:proofErr w:type="spellEnd"/>
      <w:r w:rsidR="00FF4F27"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дорослим та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дітям віком від 12 років вживати </w:t>
      </w:r>
      <w:r w:rsidR="00D6393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по </w:t>
      </w:r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4-8 г на </w:t>
      </w:r>
      <w:proofErr w:type="spellStart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добу</w:t>
      </w:r>
      <w:proofErr w:type="spellEnd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025AF2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впродовж</w:t>
      </w:r>
      <w:r w:rsidR="002E1C3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 </w:t>
      </w:r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5-10 </w:t>
      </w:r>
      <w:proofErr w:type="spellStart"/>
      <w:r w:rsidR="00532CFE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="0048560C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;</w:t>
      </w:r>
    </w:p>
    <w:p w:rsidR="00532CFE" w:rsidRPr="00FF4F27" w:rsidRDefault="0048560C" w:rsidP="0048560C">
      <w:pPr>
        <w:pStyle w:val="a4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з метою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зменшення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токсичного </w:t>
      </w:r>
      <w:proofErr w:type="spellStart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впливу</w:t>
      </w:r>
      <w:proofErr w:type="spellEnd"/>
      <w:r w:rsidRPr="00FF4F27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алкоголю</w:t>
      </w:r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прискорення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виведення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його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організму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при абстинентному </w:t>
      </w:r>
      <w:proofErr w:type="spellStart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синдромі</w:t>
      </w:r>
      <w:proofErr w:type="spellEnd"/>
      <w:r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8 г одноразово</w:t>
      </w:r>
      <w:r w:rsidR="000A2724" w:rsidRPr="00FF4F27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>.</w:t>
      </w:r>
      <w:bookmarkStart w:id="0" w:name="_GoBack"/>
      <w:bookmarkEnd w:id="0"/>
    </w:p>
    <w:p w:rsidR="001D154A" w:rsidRDefault="00532CFE" w:rsidP="00532CFE">
      <w:pPr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</w:pP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подальшому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споживання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можливість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повторного курсу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узгоджувати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індивідуально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споживанні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 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індивідуальна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чутливість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продукту,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виразкова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хвороба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шлунку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дванадцятипалої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кишки у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стадії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загострення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виразки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ерозії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непрохідність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жінкам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період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вагітності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лактації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перевищувати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рекомендовану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добову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норму. Перед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застосуванням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проконсультуватися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</w:p>
    <w:p w:rsidR="009534A6" w:rsidRPr="00532CFE" w:rsidRDefault="00532CFE" w:rsidP="002E1C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</w:pPr>
      <w:proofErr w:type="spellStart"/>
      <w:r w:rsidRPr="001D154A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Особливості</w:t>
      </w:r>
      <w:proofErr w:type="spellEnd"/>
      <w:r w:rsidRPr="001D154A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D154A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1D154A">
        <w:rPr>
          <w:rFonts w:ascii="Arial" w:eastAsia="Times New Roman" w:hAnsi="Arial" w:cs="Arial"/>
          <w:b/>
          <w:color w:val="3A3A3A"/>
          <w:sz w:val="19"/>
          <w:szCs w:val="19"/>
          <w:shd w:val="clear" w:color="auto" w:fill="FFFFFF"/>
          <w:lang w:eastAsia="ru-RU"/>
        </w:rPr>
        <w:t>: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категорично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забороняється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вживання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сухого порошку перорально.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Препарат не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керувати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автомобілем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або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іншими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механічними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засобами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Умови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зберігання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 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зберігати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упаковці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виробника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в сухому,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захищеному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світла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та недоступному для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дітей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місці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за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температури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від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2ºС до 25ºС. Строк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- 2 роки з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дати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виготовлення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Форма </w:t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випуску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="002E1C34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 саше </w:t>
      </w:r>
      <w:proofErr w:type="spellStart"/>
      <w:r w:rsidR="002E1C34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масою</w:t>
      </w:r>
      <w:proofErr w:type="spellEnd"/>
      <w:r w:rsidR="002E1C34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нетто 4г; </w:t>
      </w:r>
      <w:r w:rsidR="002E1C34">
        <w:rPr>
          <w:rFonts w:ascii="Arial" w:hAnsi="Arial" w:cs="Arial"/>
          <w:sz w:val="23"/>
          <w:szCs w:val="23"/>
          <w:lang w:val="uk-UA"/>
        </w:rPr>
        <w:t>фасування згідно ТУ У</w:t>
      </w:r>
      <w:r w:rsidR="002E1C34">
        <w:rPr>
          <w:rFonts w:ascii="Arial" w:hAnsi="Arial" w:cs="Arial"/>
          <w:sz w:val="19"/>
          <w:szCs w:val="19"/>
        </w:rPr>
        <w:t xml:space="preserve"> </w:t>
      </w:r>
      <w:r w:rsidR="002E1C34"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10.8-38405950-005:2016</w:t>
      </w:r>
      <w:r w:rsidR="002E1C34">
        <w:rPr>
          <w:rFonts w:ascii="Arial" w:hAnsi="Arial" w:cs="Arial"/>
          <w:sz w:val="20"/>
          <w:szCs w:val="20"/>
        </w:rPr>
        <w:t>,</w:t>
      </w:r>
      <w:r w:rsidR="002E1C34">
        <w:rPr>
          <w:rFonts w:ascii="Arial" w:hAnsi="Arial" w:cs="Arial"/>
          <w:sz w:val="20"/>
          <w:szCs w:val="20"/>
          <w:lang w:val="uk-UA"/>
        </w:rPr>
        <w:t xml:space="preserve"> «Добавки дієтичні на основі мінеральних речовин</w:t>
      </w:r>
      <w:r w:rsidR="002E1C34">
        <w:rPr>
          <w:rFonts w:ascii="Arial" w:hAnsi="Arial" w:cs="Arial"/>
          <w:sz w:val="24"/>
          <w:szCs w:val="24"/>
        </w:rPr>
        <w:t>"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Дата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виробництва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r w:rsidR="002E1C34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val="uk-UA" w:eastAsia="ru-RU"/>
        </w:rPr>
        <w:t xml:space="preserve">або кінцевий термін придатності, номер серії приведені 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на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упаковці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Не є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лікарським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засобом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. Без ГМО.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proofErr w:type="spellStart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</w:t>
      </w:r>
      <w:proofErr w:type="spellEnd"/>
      <w:r w:rsidRPr="00532CFE">
        <w:rPr>
          <w:rFonts w:ascii="Arial" w:eastAsia="Times New Roman" w:hAnsi="Arial" w:cs="Arial"/>
          <w:b/>
          <w:bCs/>
          <w:color w:val="3A3A3A"/>
          <w:sz w:val="19"/>
          <w:szCs w:val="19"/>
          <w:shd w:val="clear" w:color="auto" w:fill="FFFFFF"/>
          <w:lang w:eastAsia="ru-RU"/>
        </w:rPr>
        <w:t>: </w:t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ТОВ “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Елемент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здоров’я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”,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Україна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, 03062, м.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Київ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вул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Естонська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, буд.120.</w:t>
      </w:r>
      <w:r w:rsidRPr="00532CFE">
        <w:rPr>
          <w:rFonts w:ascii="Arial" w:eastAsia="Times New Roman" w:hAnsi="Arial" w:cs="Arial"/>
          <w:color w:val="3A3A3A"/>
          <w:sz w:val="19"/>
          <w:szCs w:val="19"/>
          <w:lang w:eastAsia="ru-RU"/>
        </w:rPr>
        <w:br/>
      </w:r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Дозволено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Міністерством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охорони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здоров’я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України</w:t>
      </w:r>
      <w:proofErr w:type="spell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. ТУ </w:t>
      </w:r>
      <w:proofErr w:type="gramStart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>У</w:t>
      </w:r>
      <w:proofErr w:type="gramEnd"/>
      <w:r w:rsidRPr="00532CFE">
        <w:rPr>
          <w:rFonts w:ascii="Arial" w:eastAsia="Times New Roman" w:hAnsi="Arial" w:cs="Arial"/>
          <w:color w:val="3A3A3A"/>
          <w:sz w:val="19"/>
          <w:szCs w:val="19"/>
          <w:shd w:val="clear" w:color="auto" w:fill="FFFFFF"/>
          <w:lang w:eastAsia="ru-RU"/>
        </w:rPr>
        <w:t xml:space="preserve"> 10.8-38405950-005:2016</w:t>
      </w:r>
    </w:p>
    <w:sectPr w:rsidR="009534A6" w:rsidRPr="0053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F52"/>
    <w:multiLevelType w:val="hybridMultilevel"/>
    <w:tmpl w:val="68FE7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5DD4"/>
    <w:multiLevelType w:val="hybridMultilevel"/>
    <w:tmpl w:val="B1AA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6439"/>
    <w:multiLevelType w:val="hybridMultilevel"/>
    <w:tmpl w:val="5DEE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E"/>
    <w:rsid w:val="00025AF2"/>
    <w:rsid w:val="000A2724"/>
    <w:rsid w:val="00174F16"/>
    <w:rsid w:val="001812D0"/>
    <w:rsid w:val="001D154A"/>
    <w:rsid w:val="002E1C34"/>
    <w:rsid w:val="003E6596"/>
    <w:rsid w:val="0044266A"/>
    <w:rsid w:val="004611F3"/>
    <w:rsid w:val="0048560C"/>
    <w:rsid w:val="00532CFE"/>
    <w:rsid w:val="00625FF5"/>
    <w:rsid w:val="00896967"/>
    <w:rsid w:val="009A5A0B"/>
    <w:rsid w:val="00A657E7"/>
    <w:rsid w:val="00B011DA"/>
    <w:rsid w:val="00C02164"/>
    <w:rsid w:val="00D172D6"/>
    <w:rsid w:val="00D63934"/>
    <w:rsid w:val="00ED423B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82AE"/>
  <w15:chartTrackingRefBased/>
  <w15:docId w15:val="{46E18B96-556A-4DE3-8DEB-5212D2A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2CFE"/>
    <w:rPr>
      <w:b/>
      <w:bCs/>
    </w:rPr>
  </w:style>
  <w:style w:type="paragraph" w:styleId="a4">
    <w:name w:val="List Paragraph"/>
    <w:basedOn w:val="a"/>
    <w:uiPriority w:val="34"/>
    <w:qFormat/>
    <w:rsid w:val="0053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237</cp:lastModifiedBy>
  <cp:revision>4</cp:revision>
  <dcterms:created xsi:type="dcterms:W3CDTF">2019-03-19T11:19:00Z</dcterms:created>
  <dcterms:modified xsi:type="dcterms:W3CDTF">2019-03-29T10:53:00Z</dcterms:modified>
</cp:coreProperties>
</file>